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FD389B" w14:textId="300474E8" w:rsidR="000D0A1D" w:rsidRDefault="000D0A1D" w:rsidP="000D0A1D">
      <w:pPr>
        <w:pStyle w:val="Header"/>
        <w:tabs>
          <w:tab w:val="clear" w:pos="4153"/>
          <w:tab w:val="clear" w:pos="8306"/>
          <w:tab w:val="right" w:pos="9026"/>
        </w:tabs>
        <w:rPr>
          <w:b/>
          <w:color w:val="FF0000"/>
          <w:sz w:val="24"/>
        </w:rPr>
      </w:pPr>
      <w:bookmarkStart w:id="0" w:name="_Hlk512609091"/>
      <w:r>
        <w:rPr>
          <w:b/>
          <w:sz w:val="24"/>
        </w:rPr>
        <w:t>3GPP TSG-RAN WG1 Meeting #100</w:t>
      </w:r>
      <w:r w:rsidR="00362044">
        <w:rPr>
          <w:b/>
          <w:sz w:val="24"/>
        </w:rPr>
        <w:t>bis-</w:t>
      </w:r>
      <w:r>
        <w:rPr>
          <w:b/>
          <w:sz w:val="24"/>
        </w:rPr>
        <w:t>e</w:t>
      </w:r>
      <w:r>
        <w:rPr>
          <w:b/>
          <w:sz w:val="24"/>
        </w:rPr>
        <w:tab/>
        <w:t>R1-200</w:t>
      </w:r>
      <w:r w:rsidR="00362044">
        <w:rPr>
          <w:b/>
          <w:sz w:val="24"/>
        </w:rPr>
        <w:t>175</w:t>
      </w:r>
      <w:r w:rsidR="00D11EF8">
        <w:rPr>
          <w:b/>
          <w:sz w:val="24"/>
        </w:rPr>
        <w:t>5</w:t>
      </w:r>
    </w:p>
    <w:p w14:paraId="017142DE" w14:textId="5CF51B1A" w:rsidR="000D0A1D" w:rsidRDefault="000D0A1D" w:rsidP="000D0A1D">
      <w:pPr>
        <w:pStyle w:val="Header"/>
        <w:rPr>
          <w:b/>
          <w:sz w:val="24"/>
        </w:rPr>
      </w:pPr>
      <w:r>
        <w:rPr>
          <w:b/>
          <w:sz w:val="24"/>
        </w:rPr>
        <w:t xml:space="preserve">e-Meeting, </w:t>
      </w:r>
      <w:r w:rsidR="00362044">
        <w:rPr>
          <w:b/>
          <w:sz w:val="24"/>
        </w:rPr>
        <w:t>April</w:t>
      </w:r>
      <w:r>
        <w:rPr>
          <w:b/>
          <w:sz w:val="24"/>
        </w:rPr>
        <w:t xml:space="preserve"> </w:t>
      </w:r>
      <w:r w:rsidR="00362044">
        <w:rPr>
          <w:b/>
          <w:sz w:val="24"/>
        </w:rPr>
        <w:t>20</w:t>
      </w:r>
      <w:r>
        <w:rPr>
          <w:b/>
          <w:sz w:val="24"/>
        </w:rPr>
        <w:t xml:space="preserve"> – </w:t>
      </w:r>
      <w:r w:rsidR="00362044">
        <w:rPr>
          <w:b/>
          <w:sz w:val="24"/>
        </w:rPr>
        <w:t>30</w:t>
      </w:r>
      <w:r>
        <w:rPr>
          <w:b/>
          <w:sz w:val="24"/>
        </w:rPr>
        <w:t>, 2020</w:t>
      </w:r>
      <w:bookmarkEnd w:id="0"/>
    </w:p>
    <w:p w14:paraId="4E703723" w14:textId="77777777" w:rsidR="00B27109" w:rsidRDefault="00B27109" w:rsidP="00B27109"/>
    <w:p w14:paraId="420026A9" w14:textId="4F89D75B" w:rsidR="00B27109" w:rsidRPr="00942652" w:rsidRDefault="00B27109" w:rsidP="00B27109">
      <w:pPr>
        <w:tabs>
          <w:tab w:val="left" w:pos="1701"/>
        </w:tabs>
        <w:spacing w:after="60"/>
        <w:rPr>
          <w:bCs/>
          <w:color w:val="000000" w:themeColor="text1"/>
        </w:rPr>
      </w:pPr>
      <w:r w:rsidRPr="00BC0557">
        <w:rPr>
          <w:b/>
          <w:sz w:val="22"/>
        </w:rPr>
        <w:t>Agenda item:</w:t>
      </w:r>
      <w:r w:rsidRPr="00EF0FD5">
        <w:tab/>
      </w:r>
      <w:r w:rsidR="00D11EF8">
        <w:t>6.2.5.5</w:t>
      </w:r>
    </w:p>
    <w:p w14:paraId="06A83340" w14:textId="4636C2C4" w:rsidR="00BC0557" w:rsidRPr="00B47A8B" w:rsidRDefault="00BC0557" w:rsidP="00BC0557">
      <w:pPr>
        <w:tabs>
          <w:tab w:val="left" w:pos="1701"/>
        </w:tabs>
        <w:spacing w:after="60"/>
        <w:rPr>
          <w:bCs/>
          <w:color w:val="000000" w:themeColor="text1"/>
        </w:rPr>
      </w:pPr>
      <w:r w:rsidRPr="00B47A8B">
        <w:rPr>
          <w:b/>
          <w:color w:val="000000" w:themeColor="text1"/>
          <w:sz w:val="22"/>
        </w:rPr>
        <w:t>Title:</w:t>
      </w:r>
      <w:r w:rsidRPr="00B47A8B">
        <w:rPr>
          <w:b/>
          <w:color w:val="000000" w:themeColor="text1"/>
        </w:rPr>
        <w:tab/>
      </w:r>
      <w:r w:rsidR="00D11EF8" w:rsidRPr="00D11EF8">
        <w:t>Discussion on LTE feature list for 5G_V2X_NRSL</w:t>
      </w:r>
    </w:p>
    <w:p w14:paraId="7DC2E3DB" w14:textId="238BBDA2" w:rsidR="00BC0557" w:rsidRPr="00B47A8B" w:rsidRDefault="00BC0557" w:rsidP="00BC0557">
      <w:pPr>
        <w:tabs>
          <w:tab w:val="left" w:pos="1701"/>
        </w:tabs>
        <w:spacing w:after="60"/>
        <w:rPr>
          <w:bCs/>
          <w:color w:val="000000" w:themeColor="text1"/>
        </w:rPr>
      </w:pPr>
      <w:r w:rsidRPr="00B47A8B">
        <w:rPr>
          <w:b/>
          <w:color w:val="000000" w:themeColor="text1"/>
          <w:sz w:val="22"/>
        </w:rPr>
        <w:t>Source:</w:t>
      </w:r>
      <w:r w:rsidRPr="00B47A8B">
        <w:rPr>
          <w:bCs/>
          <w:color w:val="000000" w:themeColor="text1"/>
        </w:rPr>
        <w:tab/>
        <w:t>OPPO</w:t>
      </w:r>
    </w:p>
    <w:p w14:paraId="38AC3EF2" w14:textId="77777777" w:rsidR="00BC0557" w:rsidRPr="00B47A8B" w:rsidRDefault="00BC0557" w:rsidP="00BC0557">
      <w:pPr>
        <w:tabs>
          <w:tab w:val="left" w:pos="1701"/>
        </w:tabs>
        <w:spacing w:after="60"/>
        <w:rPr>
          <w:color w:val="000000" w:themeColor="text1"/>
        </w:rPr>
      </w:pPr>
      <w:r w:rsidRPr="00B47A8B">
        <w:rPr>
          <w:b/>
          <w:color w:val="000000" w:themeColor="text1"/>
          <w:sz w:val="22"/>
        </w:rPr>
        <w:t>Document for:</w:t>
      </w:r>
      <w:r w:rsidRPr="00B47A8B">
        <w:rPr>
          <w:color w:val="000000" w:themeColor="text1"/>
        </w:rPr>
        <w:tab/>
        <w:t>Discussion and Decision</w:t>
      </w:r>
    </w:p>
    <w:p w14:paraId="4401D39C" w14:textId="77777777" w:rsidR="00BC0557" w:rsidRPr="00B47A8B" w:rsidRDefault="00BC0557" w:rsidP="00BC0557">
      <w:pPr>
        <w:pBdr>
          <w:bottom w:val="single" w:sz="4" w:space="1" w:color="auto"/>
        </w:pBdr>
        <w:rPr>
          <w:color w:val="000000" w:themeColor="text1"/>
        </w:rPr>
      </w:pPr>
    </w:p>
    <w:p w14:paraId="3146754E" w14:textId="77777777" w:rsidR="00BC0557" w:rsidRPr="00B47A8B" w:rsidRDefault="00BC0557" w:rsidP="00BC0557">
      <w:pPr>
        <w:rPr>
          <w:color w:val="000000" w:themeColor="text1"/>
        </w:rPr>
      </w:pPr>
    </w:p>
    <w:p w14:paraId="770EF4D8" w14:textId="77777777" w:rsidR="00BC0557" w:rsidRPr="00B47A8B" w:rsidRDefault="00BC0557" w:rsidP="00BC0557">
      <w:pPr>
        <w:spacing w:after="120"/>
        <w:rPr>
          <w:b/>
          <w:color w:val="000000" w:themeColor="text1"/>
          <w:sz w:val="22"/>
        </w:rPr>
      </w:pPr>
      <w:r w:rsidRPr="00B47A8B">
        <w:rPr>
          <w:b/>
          <w:color w:val="000000" w:themeColor="text1"/>
          <w:sz w:val="22"/>
        </w:rPr>
        <w:t>1. Introduction</w:t>
      </w:r>
    </w:p>
    <w:p w14:paraId="0109469F" w14:textId="706A6ACA" w:rsidR="00B573CF" w:rsidRPr="00192047" w:rsidRDefault="00E02C13" w:rsidP="00C144BA">
      <w:pPr>
        <w:pStyle w:val="BodyText"/>
        <w:spacing w:after="360"/>
        <w:rPr>
          <w:color w:val="auto"/>
          <w:sz w:val="20"/>
        </w:rPr>
      </w:pPr>
      <w:r w:rsidRPr="00192047">
        <w:rPr>
          <w:color w:val="auto"/>
          <w:sz w:val="20"/>
        </w:rPr>
        <w:t>For the email discussion on Release 16 UE feature lists for LTE after RAN1#100-e meeting, RAN1 reached an intermediate version of the lists [1] after a round of comments/inputs from companies, and sent a LS with the intermediate lists to RAN2 [2].</w:t>
      </w:r>
      <w:r w:rsidR="00192047" w:rsidRPr="00192047">
        <w:rPr>
          <w:color w:val="auto"/>
          <w:sz w:val="20"/>
        </w:rPr>
        <w:t xml:space="preserve"> In this contribution, we discuss and further provide our comments and suggestions for the 5G_V2X_NRSL feature.</w:t>
      </w:r>
    </w:p>
    <w:p w14:paraId="2DDFB004" w14:textId="345D2B24" w:rsidR="00BC0557" w:rsidRDefault="00BC0557" w:rsidP="00BC0557">
      <w:pPr>
        <w:spacing w:after="120"/>
        <w:rPr>
          <w:b/>
          <w:sz w:val="20"/>
          <w:szCs w:val="20"/>
        </w:rPr>
      </w:pPr>
      <w:r w:rsidRPr="00542EDE">
        <w:rPr>
          <w:b/>
          <w:sz w:val="20"/>
          <w:szCs w:val="20"/>
        </w:rPr>
        <w:t xml:space="preserve">2. </w:t>
      </w:r>
      <w:r w:rsidR="007E3686">
        <w:rPr>
          <w:b/>
          <w:sz w:val="20"/>
          <w:szCs w:val="20"/>
        </w:rPr>
        <w:t>Discussions</w:t>
      </w:r>
    </w:p>
    <w:p w14:paraId="33C94604" w14:textId="55C81693" w:rsidR="00DE6F29" w:rsidRPr="002E6DFD" w:rsidRDefault="00192047" w:rsidP="00E02C13">
      <w:pPr>
        <w:spacing w:after="120"/>
        <w:rPr>
          <w:color w:val="000000" w:themeColor="text1"/>
          <w:sz w:val="20"/>
        </w:rPr>
      </w:pPr>
      <w:r w:rsidRPr="002E6DFD">
        <w:rPr>
          <w:color w:val="000000" w:themeColor="text1"/>
          <w:sz w:val="20"/>
        </w:rPr>
        <w:t xml:space="preserve">The work item for 5G_V2X_NRSL is mainly a Release 16 feature for NR. Since it is already agreed and specified that the feature can be network configured and controlled under LTE eNB, it was necessary to include a UE capability list for this NR feature in LTE spec, </w:t>
      </w:r>
      <w:r w:rsidR="003C0DE5" w:rsidRPr="002E6DFD">
        <w:rPr>
          <w:color w:val="000000" w:themeColor="text1"/>
          <w:sz w:val="20"/>
        </w:rPr>
        <w:t>so that</w:t>
      </w:r>
      <w:r w:rsidRPr="002E6DFD">
        <w:rPr>
          <w:color w:val="000000" w:themeColor="text1"/>
          <w:sz w:val="20"/>
        </w:rPr>
        <w:t xml:space="preserve"> LTE eNB </w:t>
      </w:r>
      <w:r w:rsidR="003C0DE5" w:rsidRPr="002E6DFD">
        <w:rPr>
          <w:color w:val="000000" w:themeColor="text1"/>
          <w:sz w:val="20"/>
        </w:rPr>
        <w:t xml:space="preserve">has sufficient knowledge </w:t>
      </w:r>
      <w:r w:rsidRPr="002E6DFD">
        <w:rPr>
          <w:color w:val="000000" w:themeColor="text1"/>
          <w:sz w:val="20"/>
        </w:rPr>
        <w:t>to proper</w:t>
      </w:r>
      <w:r w:rsidR="003C0DE5" w:rsidRPr="002E6DFD">
        <w:rPr>
          <w:color w:val="000000" w:themeColor="text1"/>
          <w:sz w:val="20"/>
        </w:rPr>
        <w:t>l</w:t>
      </w:r>
      <w:r w:rsidRPr="002E6DFD">
        <w:rPr>
          <w:color w:val="000000" w:themeColor="text1"/>
          <w:sz w:val="20"/>
        </w:rPr>
        <w:t>y control</w:t>
      </w:r>
      <w:r w:rsidR="003C0DE5" w:rsidRPr="002E6DFD">
        <w:rPr>
          <w:color w:val="000000" w:themeColor="text1"/>
          <w:sz w:val="20"/>
        </w:rPr>
        <w:t>,</w:t>
      </w:r>
      <w:r w:rsidRPr="002E6DFD">
        <w:rPr>
          <w:color w:val="000000" w:themeColor="text1"/>
          <w:sz w:val="20"/>
        </w:rPr>
        <w:t xml:space="preserve"> configure</w:t>
      </w:r>
      <w:r w:rsidR="003C0DE5" w:rsidRPr="002E6DFD">
        <w:rPr>
          <w:color w:val="000000" w:themeColor="text1"/>
          <w:sz w:val="20"/>
        </w:rPr>
        <w:t xml:space="preserve"> and</w:t>
      </w:r>
      <w:r w:rsidRPr="002E6DFD">
        <w:rPr>
          <w:color w:val="000000" w:themeColor="text1"/>
          <w:sz w:val="20"/>
        </w:rPr>
        <w:t xml:space="preserve"> schedule NR SL </w:t>
      </w:r>
      <w:r w:rsidR="003C0DE5" w:rsidRPr="002E6DFD">
        <w:rPr>
          <w:color w:val="000000" w:themeColor="text1"/>
          <w:sz w:val="20"/>
        </w:rPr>
        <w:t>Tx/Rx</w:t>
      </w:r>
      <w:r w:rsidRPr="002E6DFD">
        <w:rPr>
          <w:color w:val="000000" w:themeColor="text1"/>
          <w:sz w:val="20"/>
        </w:rPr>
        <w:t>.</w:t>
      </w:r>
      <w:r w:rsidR="002A48E2" w:rsidRPr="002E6DFD">
        <w:rPr>
          <w:color w:val="000000" w:themeColor="text1"/>
          <w:sz w:val="20"/>
        </w:rPr>
        <w:t xml:space="preserve"> As such, the set of LTE feature list for 5G_V2X_NRSL should in principle follow those in NR feature list. However, it should be made clear that not all NR SL operations currently supported under NR gNB control are also supported by LTE eNB. Therefore, once the NR feature list for 5G_V2X_NRSL is completed/finalized, most of the FGs from that list can be copied over to the LTE feature list, but containing only ones that are relevant to the LTE counterpart. That is, those need to be known by LTE eNB for controlling and configuring NR SL operation.</w:t>
      </w:r>
    </w:p>
    <w:p w14:paraId="17DB308B" w14:textId="3D3C50BC" w:rsidR="002E6DFD" w:rsidRPr="002E6DFD" w:rsidRDefault="00565E67" w:rsidP="00C86E21">
      <w:pPr>
        <w:spacing w:after="240"/>
        <w:rPr>
          <w:b/>
          <w:i/>
          <w:sz w:val="20"/>
          <w:szCs w:val="20"/>
        </w:rPr>
      </w:pPr>
      <w:r w:rsidRPr="0088570B">
        <w:rPr>
          <w:b/>
          <w:i/>
          <w:sz w:val="20"/>
          <w:szCs w:val="20"/>
        </w:rPr>
        <w:t>Proposal</w:t>
      </w:r>
      <w:r w:rsidR="00D11EF8">
        <w:rPr>
          <w:b/>
          <w:i/>
          <w:sz w:val="20"/>
          <w:szCs w:val="20"/>
        </w:rPr>
        <w:t xml:space="preserve"> 1</w:t>
      </w:r>
      <w:r w:rsidRPr="0088570B">
        <w:rPr>
          <w:b/>
          <w:i/>
          <w:sz w:val="20"/>
          <w:szCs w:val="20"/>
        </w:rPr>
        <w:t xml:space="preserve">: </w:t>
      </w:r>
      <w:r w:rsidR="00590216" w:rsidRPr="00590216">
        <w:rPr>
          <w:b/>
          <w:i/>
          <w:sz w:val="20"/>
          <w:szCs w:val="20"/>
        </w:rPr>
        <w:t>Set of LTE feature list for 5G_V2X_NRSL should in principle follow those of NR feature list, but containing</w:t>
      </w:r>
      <w:r w:rsidR="002A48E2">
        <w:rPr>
          <w:b/>
          <w:i/>
          <w:sz w:val="20"/>
          <w:szCs w:val="20"/>
        </w:rPr>
        <w:t xml:space="preserve"> only</w:t>
      </w:r>
      <w:r w:rsidR="00590216" w:rsidRPr="00590216">
        <w:rPr>
          <w:b/>
          <w:i/>
          <w:sz w:val="20"/>
          <w:szCs w:val="20"/>
        </w:rPr>
        <w:t xml:space="preserve"> ones that are relevant to the LTE counterpart, i.e. those need to be known by LTE eNB for controlling / configuring NR SL operation</w:t>
      </w:r>
      <w:r w:rsidR="00590216">
        <w:rPr>
          <w:b/>
          <w:i/>
          <w:sz w:val="20"/>
          <w:szCs w:val="20"/>
        </w:rPr>
        <w:t>.</w:t>
      </w:r>
    </w:p>
    <w:p w14:paraId="5D367824" w14:textId="5DDE555C" w:rsidR="002E6DFD" w:rsidRPr="00FC3C95" w:rsidRDefault="002E6DFD" w:rsidP="00C86E21">
      <w:pPr>
        <w:spacing w:after="120"/>
        <w:rPr>
          <w:sz w:val="20"/>
          <w:szCs w:val="20"/>
        </w:rPr>
      </w:pPr>
      <w:r w:rsidRPr="00FC3C95">
        <w:rPr>
          <w:sz w:val="20"/>
          <w:szCs w:val="20"/>
        </w:rPr>
        <w:t>According to the intermediate version of the LTE feature list for 5G_V2X_NRSL [1], we would still like to provide some discussions and further comments.</w:t>
      </w:r>
    </w:p>
    <w:p w14:paraId="6FD35004" w14:textId="53526B97" w:rsidR="00E02C13" w:rsidRPr="00FC3C95" w:rsidRDefault="002E6DFD" w:rsidP="00C86E21">
      <w:pPr>
        <w:pStyle w:val="ListParagraph"/>
        <w:numPr>
          <w:ilvl w:val="0"/>
          <w:numId w:val="40"/>
        </w:numPr>
        <w:spacing w:after="120"/>
        <w:ind w:leftChars="0"/>
        <w:jc w:val="both"/>
        <w:rPr>
          <w:rFonts w:ascii="Arial" w:hAnsi="Arial" w:cs="Arial"/>
          <w:szCs w:val="20"/>
        </w:rPr>
      </w:pPr>
      <w:r w:rsidRPr="00FC3C95">
        <w:rPr>
          <w:rFonts w:ascii="Arial" w:hAnsi="Arial" w:cs="Arial"/>
          <w:szCs w:val="20"/>
        </w:rPr>
        <w:t xml:space="preserve">Regarding the need to </w:t>
      </w:r>
      <w:r w:rsidRPr="00BA2684">
        <w:rPr>
          <w:rFonts w:ascii="Arial" w:hAnsi="Arial" w:cs="Arial"/>
          <w:szCs w:val="20"/>
        </w:rPr>
        <w:t>define basic feature groups for</w:t>
      </w:r>
      <w:r w:rsidRPr="00FC3C95">
        <w:rPr>
          <w:rFonts w:ascii="Arial" w:hAnsi="Arial" w:cs="Arial"/>
          <w:szCs w:val="20"/>
        </w:rPr>
        <w:t xml:space="preserve"> 5G_V2X_NRSL in </w:t>
      </w:r>
      <w:r w:rsidR="00FC3C95" w:rsidRPr="00FC3C95">
        <w:rPr>
          <w:rFonts w:ascii="Arial" w:hAnsi="Arial" w:cs="Arial"/>
          <w:szCs w:val="20"/>
        </w:rPr>
        <w:t>LTE feature list, we see this is important to define same set of BFGs from the NR feature list to the LTE counterpart to ensure UE can support the same minimum/basic set of NR SL UE capabilities when operating under gNB and eNB control. Same expectation should be aligned between NR Uu and LTE Uu.</w:t>
      </w:r>
      <w:r w:rsidR="00FC3C95">
        <w:rPr>
          <w:rFonts w:ascii="Arial" w:hAnsi="Arial" w:cs="Arial"/>
          <w:szCs w:val="20"/>
        </w:rPr>
        <w:t xml:space="preserve"> And the FGs in the current LTE feature list that should be made as BFGs</w:t>
      </w:r>
      <w:r w:rsidR="007D4440">
        <w:rPr>
          <w:rFonts w:ascii="Arial" w:hAnsi="Arial" w:cs="Arial"/>
          <w:szCs w:val="20"/>
        </w:rPr>
        <w:t xml:space="preserve"> are </w:t>
      </w:r>
      <w:r w:rsidR="007D4440" w:rsidRPr="007D4440">
        <w:rPr>
          <w:rFonts w:ascii="Arial" w:hAnsi="Arial" w:cs="Arial"/>
          <w:szCs w:val="20"/>
        </w:rPr>
        <w:t>5-1/2/3/4/8</w:t>
      </w:r>
      <w:r w:rsidR="007D4440">
        <w:rPr>
          <w:rFonts w:ascii="Arial" w:hAnsi="Arial" w:cs="Arial"/>
          <w:szCs w:val="20"/>
        </w:rPr>
        <w:t>.</w:t>
      </w:r>
    </w:p>
    <w:p w14:paraId="0A023D5D" w14:textId="482B92A1" w:rsidR="00FC3C95" w:rsidRPr="00AC6C7C" w:rsidRDefault="00FC3C95" w:rsidP="00C86E21">
      <w:pPr>
        <w:pStyle w:val="ListParagraph"/>
        <w:numPr>
          <w:ilvl w:val="0"/>
          <w:numId w:val="40"/>
        </w:numPr>
        <w:spacing w:after="120"/>
        <w:ind w:leftChars="0"/>
        <w:jc w:val="both"/>
        <w:rPr>
          <w:rFonts w:ascii="Arial" w:hAnsi="Arial" w:cs="Arial"/>
          <w:szCs w:val="20"/>
        </w:rPr>
      </w:pPr>
      <w:r w:rsidRPr="00C64173">
        <w:rPr>
          <w:rFonts w:ascii="Arial" w:hAnsi="Arial" w:cs="Arial"/>
          <w:szCs w:val="20"/>
        </w:rPr>
        <w:t xml:space="preserve">On </w:t>
      </w:r>
      <w:r w:rsidR="00C86E21" w:rsidRPr="00C64173">
        <w:rPr>
          <w:rFonts w:ascii="Arial" w:hAnsi="Arial" w:cs="Arial"/>
          <w:szCs w:val="20"/>
        </w:rPr>
        <w:t xml:space="preserve">UE support of 2 receive antennas, we have a view it is a minimum capability that every NR V2X UE need to support. All simulations and performance evaluations were done assuming this minimum capability, so this should be clearly stated/captured in FG 5-1. Similarly, the </w:t>
      </w:r>
      <w:r w:rsidR="00C86E21" w:rsidRPr="00AC6C7C">
        <w:rPr>
          <w:rFonts w:ascii="Arial" w:hAnsi="Arial" w:cs="Arial"/>
          <w:szCs w:val="20"/>
        </w:rPr>
        <w:t>support of 2 transmit antennas should be also captured accordingly in FG 5-2/3.</w:t>
      </w:r>
    </w:p>
    <w:p w14:paraId="4AA5097F" w14:textId="4682FDA2" w:rsidR="00C64173" w:rsidRPr="00AC6C7C" w:rsidRDefault="008E60F1" w:rsidP="00C86E21">
      <w:pPr>
        <w:pStyle w:val="ListParagraph"/>
        <w:numPr>
          <w:ilvl w:val="0"/>
          <w:numId w:val="40"/>
        </w:numPr>
        <w:spacing w:after="120"/>
        <w:ind w:leftChars="0"/>
        <w:jc w:val="both"/>
        <w:rPr>
          <w:rFonts w:ascii="Arial" w:hAnsi="Arial" w:cs="Arial"/>
          <w:szCs w:val="20"/>
        </w:rPr>
      </w:pPr>
      <w:r w:rsidRPr="00AC6C7C">
        <w:rPr>
          <w:rFonts w:ascii="Arial" w:hAnsi="Arial" w:cs="Arial"/>
          <w:szCs w:val="20"/>
        </w:rPr>
        <w:t xml:space="preserve">On 256QAM transmission and reception, </w:t>
      </w:r>
      <w:r w:rsidR="00B65265" w:rsidRPr="00AC6C7C">
        <w:rPr>
          <w:rFonts w:ascii="Arial" w:hAnsi="Arial" w:cs="Arial"/>
          <w:szCs w:val="20"/>
        </w:rPr>
        <w:t xml:space="preserve">we have a view that it should be handled in the same way as how it was handled for 64QAM Tx/Rx in Rel-15 LTE V2X. That is, 256QAM reception should be made mandatory and 256QAM transmission is optional, so that whenever a UE is capable of transmitting NR SL using 256QAM, the data can always readily receive by all UEs in the field. Although the support of 256QAM in NR Uu is optional for both Tx and Rx as </w:t>
      </w:r>
      <w:r w:rsidR="00AC6C7C" w:rsidRPr="00AC6C7C">
        <w:rPr>
          <w:rFonts w:ascii="Arial" w:hAnsi="Arial" w:cs="Arial"/>
          <w:szCs w:val="20"/>
        </w:rPr>
        <w:t xml:space="preserve">the Uu interface </w:t>
      </w:r>
      <w:r w:rsidR="00B65265" w:rsidRPr="00AC6C7C">
        <w:rPr>
          <w:rFonts w:ascii="Arial" w:hAnsi="Arial" w:cs="Arial"/>
          <w:szCs w:val="20"/>
        </w:rPr>
        <w:t xml:space="preserve">needs to consider all UE types and </w:t>
      </w:r>
      <w:r w:rsidR="00AC6C7C" w:rsidRPr="00AC6C7C">
        <w:rPr>
          <w:rFonts w:ascii="Arial" w:hAnsi="Arial" w:cs="Arial"/>
          <w:szCs w:val="20"/>
        </w:rPr>
        <w:t>services that it needs to accommodate, the support of 256QAM in sidelink is for V2X, where high data rate of up to 1Gbps is expected. As such, we don’t think FG 5-7a is necessary and it can be simply captured in FG 5-7 that “Reception of 256QAM is mandatory” as a note, while the FG 5-7 for 256QAM sidelink transmission is optional with capability signalling.</w:t>
      </w:r>
    </w:p>
    <w:p w14:paraId="0218A5A9" w14:textId="09815AE1" w:rsidR="00E02C13" w:rsidRDefault="00E02C13" w:rsidP="00C86E21">
      <w:pPr>
        <w:spacing w:after="240"/>
        <w:rPr>
          <w:b/>
          <w:i/>
          <w:sz w:val="20"/>
          <w:szCs w:val="20"/>
        </w:rPr>
      </w:pPr>
      <w:r w:rsidRPr="0088570B">
        <w:rPr>
          <w:b/>
          <w:i/>
          <w:sz w:val="20"/>
          <w:szCs w:val="20"/>
        </w:rPr>
        <w:lastRenderedPageBreak/>
        <w:t>Proposal</w:t>
      </w:r>
      <w:r>
        <w:rPr>
          <w:b/>
          <w:i/>
          <w:sz w:val="20"/>
          <w:szCs w:val="20"/>
        </w:rPr>
        <w:t xml:space="preserve"> 2</w:t>
      </w:r>
      <w:r w:rsidRPr="0088570B">
        <w:rPr>
          <w:b/>
          <w:i/>
          <w:sz w:val="20"/>
          <w:szCs w:val="20"/>
        </w:rPr>
        <w:t xml:space="preserve">: </w:t>
      </w:r>
      <w:r w:rsidR="00FC3C95">
        <w:rPr>
          <w:b/>
          <w:i/>
          <w:sz w:val="20"/>
          <w:szCs w:val="20"/>
        </w:rPr>
        <w:t>It is necessary to define same set of BFGs in the LTE feature list as in the NR to align minimum set of features / functional expectations under NR control and LTE control.</w:t>
      </w:r>
      <w:r w:rsidR="007D4440">
        <w:rPr>
          <w:b/>
          <w:i/>
          <w:sz w:val="20"/>
          <w:szCs w:val="20"/>
        </w:rPr>
        <w:t xml:space="preserve"> T</w:t>
      </w:r>
      <w:r w:rsidR="007D4440" w:rsidRPr="007D4440">
        <w:rPr>
          <w:b/>
          <w:i/>
          <w:sz w:val="20"/>
          <w:szCs w:val="20"/>
        </w:rPr>
        <w:t xml:space="preserve">he </w:t>
      </w:r>
      <w:r w:rsidR="007D4440">
        <w:rPr>
          <w:b/>
          <w:i/>
          <w:sz w:val="20"/>
          <w:szCs w:val="20"/>
        </w:rPr>
        <w:t xml:space="preserve">set of </w:t>
      </w:r>
      <w:r w:rsidR="007D4440" w:rsidRPr="007D4440">
        <w:rPr>
          <w:b/>
          <w:i/>
          <w:sz w:val="20"/>
          <w:szCs w:val="20"/>
        </w:rPr>
        <w:t>FGs in the current LTE feature list that should be made as BFGs are 5-1/2/3/4/8.</w:t>
      </w:r>
    </w:p>
    <w:p w14:paraId="58933EC3" w14:textId="774B919E" w:rsidR="00FC3C95" w:rsidRDefault="00FC3C95" w:rsidP="00C64173">
      <w:pPr>
        <w:spacing w:after="240"/>
        <w:rPr>
          <w:b/>
          <w:i/>
          <w:sz w:val="20"/>
          <w:szCs w:val="20"/>
        </w:rPr>
      </w:pPr>
      <w:r w:rsidRPr="0088570B">
        <w:rPr>
          <w:b/>
          <w:i/>
          <w:sz w:val="20"/>
          <w:szCs w:val="20"/>
        </w:rPr>
        <w:t>Proposal</w:t>
      </w:r>
      <w:r>
        <w:rPr>
          <w:b/>
          <w:i/>
          <w:sz w:val="20"/>
          <w:szCs w:val="20"/>
        </w:rPr>
        <w:t xml:space="preserve"> 3</w:t>
      </w:r>
      <w:r w:rsidRPr="0088570B">
        <w:rPr>
          <w:b/>
          <w:i/>
          <w:sz w:val="20"/>
          <w:szCs w:val="20"/>
        </w:rPr>
        <w:t xml:space="preserve">: </w:t>
      </w:r>
      <w:r w:rsidR="00C86E21">
        <w:rPr>
          <w:b/>
          <w:i/>
          <w:sz w:val="20"/>
          <w:szCs w:val="20"/>
        </w:rPr>
        <w:t xml:space="preserve">It is important to </w:t>
      </w:r>
      <w:r w:rsidR="00C64173">
        <w:rPr>
          <w:b/>
          <w:i/>
          <w:sz w:val="20"/>
          <w:szCs w:val="20"/>
        </w:rPr>
        <w:t>clearly state and capture 2 receive antennas and 2 transmit antennas as minimum capability that every NR V2X UE need to support in FG 5-1 and 5-2/3, respectively.</w:t>
      </w:r>
    </w:p>
    <w:p w14:paraId="291E4925" w14:textId="00B85171" w:rsidR="00C64173" w:rsidRPr="0088570B" w:rsidRDefault="00C64173" w:rsidP="00C86E21">
      <w:pPr>
        <w:spacing w:after="360"/>
        <w:rPr>
          <w:b/>
          <w:i/>
          <w:sz w:val="20"/>
          <w:szCs w:val="20"/>
        </w:rPr>
      </w:pPr>
      <w:r>
        <w:rPr>
          <w:b/>
          <w:i/>
          <w:sz w:val="20"/>
          <w:szCs w:val="20"/>
        </w:rPr>
        <w:t xml:space="preserve">Proposal 4: </w:t>
      </w:r>
      <w:r w:rsidR="00AC6C7C">
        <w:rPr>
          <w:b/>
          <w:i/>
          <w:sz w:val="20"/>
          <w:szCs w:val="20"/>
        </w:rPr>
        <w:t>The current FG 5-7a for 256QAM SL reception is not necessary. I</w:t>
      </w:r>
      <w:r w:rsidR="00AC6C7C" w:rsidRPr="00AC6C7C">
        <w:rPr>
          <w:b/>
          <w:i/>
          <w:sz w:val="20"/>
          <w:szCs w:val="20"/>
        </w:rPr>
        <w:t xml:space="preserve">t can be simply captured in FG 5-7 that “Reception of 256QAM is mandatory” as a note, while FG 5-7 for 256QAM sidelink transmission is </w:t>
      </w:r>
      <w:r w:rsidR="00AC6C7C">
        <w:rPr>
          <w:b/>
          <w:i/>
          <w:sz w:val="20"/>
          <w:szCs w:val="20"/>
        </w:rPr>
        <w:t>“</w:t>
      </w:r>
      <w:r w:rsidR="00AC6C7C" w:rsidRPr="00AC6C7C">
        <w:rPr>
          <w:b/>
          <w:i/>
          <w:sz w:val="20"/>
          <w:szCs w:val="20"/>
        </w:rPr>
        <w:t>optional with capability signalling</w:t>
      </w:r>
      <w:r w:rsidR="00AC6C7C">
        <w:rPr>
          <w:b/>
          <w:i/>
          <w:sz w:val="20"/>
          <w:szCs w:val="20"/>
        </w:rPr>
        <w:t>”</w:t>
      </w:r>
      <w:r w:rsidR="00AC6C7C" w:rsidRPr="00AC6C7C">
        <w:rPr>
          <w:b/>
          <w:i/>
          <w:sz w:val="20"/>
          <w:szCs w:val="20"/>
        </w:rPr>
        <w:t>.</w:t>
      </w:r>
    </w:p>
    <w:p w14:paraId="3A91C9E1" w14:textId="77777777" w:rsidR="00BC0557" w:rsidRPr="00542EDE" w:rsidRDefault="00BC0557" w:rsidP="00C86E21">
      <w:pPr>
        <w:spacing w:after="120"/>
        <w:rPr>
          <w:b/>
          <w:sz w:val="20"/>
          <w:szCs w:val="20"/>
        </w:rPr>
      </w:pPr>
      <w:r w:rsidRPr="00542EDE">
        <w:rPr>
          <w:b/>
          <w:sz w:val="20"/>
          <w:szCs w:val="20"/>
        </w:rPr>
        <w:t>3. Conclusion</w:t>
      </w:r>
    </w:p>
    <w:p w14:paraId="05FA8798" w14:textId="2AF4963E" w:rsidR="00BC0557" w:rsidRPr="00AC6C7C" w:rsidRDefault="00AC6C7C" w:rsidP="00C86E21">
      <w:pPr>
        <w:rPr>
          <w:iCs/>
          <w:sz w:val="20"/>
          <w:szCs w:val="20"/>
        </w:rPr>
      </w:pPr>
      <w:r w:rsidRPr="00AC6C7C">
        <w:rPr>
          <w:sz w:val="20"/>
        </w:rPr>
        <w:t>We discussed and provided our comments and suggestions for the 5G_V2X_NRSL WI in the LTE feature list.</w:t>
      </w:r>
      <w:r w:rsidR="00B63B9C" w:rsidRPr="00AC6C7C">
        <w:rPr>
          <w:sz w:val="20"/>
          <w:szCs w:val="20"/>
        </w:rPr>
        <w:t xml:space="preserve"> </w:t>
      </w:r>
      <w:r w:rsidR="00BC0557" w:rsidRPr="00AC6C7C">
        <w:rPr>
          <w:iCs/>
          <w:sz w:val="20"/>
          <w:szCs w:val="20"/>
        </w:rPr>
        <w:t xml:space="preserve">In summary, we have the following </w:t>
      </w:r>
      <w:r w:rsidR="00FB6D7B" w:rsidRPr="00AC6C7C">
        <w:rPr>
          <w:iCs/>
          <w:sz w:val="20"/>
          <w:szCs w:val="20"/>
        </w:rPr>
        <w:t>proposal</w:t>
      </w:r>
      <w:r w:rsidRPr="00AC6C7C">
        <w:rPr>
          <w:iCs/>
          <w:sz w:val="20"/>
          <w:szCs w:val="20"/>
        </w:rPr>
        <w:t>s</w:t>
      </w:r>
      <w:r w:rsidR="00630849" w:rsidRPr="00AC6C7C">
        <w:rPr>
          <w:iCs/>
          <w:sz w:val="20"/>
          <w:szCs w:val="20"/>
        </w:rPr>
        <w:t>.</w:t>
      </w:r>
    </w:p>
    <w:p w14:paraId="08448B2B" w14:textId="489B9D94" w:rsidR="00847A69" w:rsidRDefault="00847A69" w:rsidP="00C86E21">
      <w:pPr>
        <w:rPr>
          <w:iCs/>
          <w:sz w:val="20"/>
          <w:szCs w:val="20"/>
        </w:rPr>
      </w:pPr>
    </w:p>
    <w:p w14:paraId="4CCC099F" w14:textId="6E2A64AD" w:rsidR="00A50AEC" w:rsidRDefault="00A50AEC" w:rsidP="00C86E21">
      <w:pPr>
        <w:spacing w:after="240"/>
        <w:rPr>
          <w:b/>
          <w:i/>
          <w:sz w:val="20"/>
          <w:szCs w:val="20"/>
        </w:rPr>
      </w:pPr>
      <w:r w:rsidRPr="0088570B">
        <w:rPr>
          <w:b/>
          <w:i/>
          <w:sz w:val="20"/>
          <w:szCs w:val="20"/>
        </w:rPr>
        <w:t>Proposal</w:t>
      </w:r>
      <w:r w:rsidR="00D11EF8">
        <w:rPr>
          <w:b/>
          <w:i/>
          <w:sz w:val="20"/>
          <w:szCs w:val="20"/>
        </w:rPr>
        <w:t xml:space="preserve"> 1</w:t>
      </w:r>
      <w:r w:rsidRPr="0088570B">
        <w:rPr>
          <w:b/>
          <w:i/>
          <w:sz w:val="20"/>
          <w:szCs w:val="20"/>
        </w:rPr>
        <w:t xml:space="preserve">: </w:t>
      </w:r>
      <w:r w:rsidR="00FC3C95" w:rsidRPr="00590216">
        <w:rPr>
          <w:b/>
          <w:i/>
          <w:sz w:val="20"/>
          <w:szCs w:val="20"/>
        </w:rPr>
        <w:t>Set of LTE feature list for 5G_V2X_NRSL should in principle follow those of NR feature list, but containing</w:t>
      </w:r>
      <w:r w:rsidR="00FC3C95">
        <w:rPr>
          <w:b/>
          <w:i/>
          <w:sz w:val="20"/>
          <w:szCs w:val="20"/>
        </w:rPr>
        <w:t xml:space="preserve"> only</w:t>
      </w:r>
      <w:r w:rsidR="00FC3C95" w:rsidRPr="00590216">
        <w:rPr>
          <w:b/>
          <w:i/>
          <w:sz w:val="20"/>
          <w:szCs w:val="20"/>
        </w:rPr>
        <w:t xml:space="preserve"> ones that are relevant to the LTE counterpart, i.e. those need to be known by LTE eNB for controlling / configuring NR SL operation</w:t>
      </w:r>
      <w:r w:rsidR="00FC3C95">
        <w:rPr>
          <w:b/>
          <w:i/>
          <w:sz w:val="20"/>
          <w:szCs w:val="20"/>
        </w:rPr>
        <w:t>.</w:t>
      </w:r>
    </w:p>
    <w:p w14:paraId="31DDB604" w14:textId="6E793251" w:rsidR="00590216" w:rsidRDefault="00590216" w:rsidP="00C86E21">
      <w:pPr>
        <w:spacing w:after="240"/>
        <w:rPr>
          <w:b/>
          <w:i/>
          <w:sz w:val="20"/>
          <w:szCs w:val="20"/>
        </w:rPr>
      </w:pPr>
      <w:r>
        <w:rPr>
          <w:b/>
          <w:i/>
          <w:sz w:val="20"/>
          <w:szCs w:val="20"/>
        </w:rPr>
        <w:t xml:space="preserve">Proposal 2: </w:t>
      </w:r>
      <w:r w:rsidR="007D4440">
        <w:rPr>
          <w:b/>
          <w:i/>
          <w:sz w:val="20"/>
          <w:szCs w:val="20"/>
        </w:rPr>
        <w:t>It is necessary to define same set of BFGs in the LTE feature list as in the NR to align minimum set of features / functional expectations under NR control and LTE control. T</w:t>
      </w:r>
      <w:r w:rsidR="007D4440" w:rsidRPr="007D4440">
        <w:rPr>
          <w:b/>
          <w:i/>
          <w:sz w:val="20"/>
          <w:szCs w:val="20"/>
        </w:rPr>
        <w:t xml:space="preserve">he </w:t>
      </w:r>
      <w:r w:rsidR="007D4440">
        <w:rPr>
          <w:b/>
          <w:i/>
          <w:sz w:val="20"/>
          <w:szCs w:val="20"/>
        </w:rPr>
        <w:t xml:space="preserve">set of </w:t>
      </w:r>
      <w:r w:rsidR="007D4440" w:rsidRPr="007D4440">
        <w:rPr>
          <w:b/>
          <w:i/>
          <w:sz w:val="20"/>
          <w:szCs w:val="20"/>
        </w:rPr>
        <w:t>FGs in the current LTE feature list that should be made as BFGs are 5-1/2/3/4/8.</w:t>
      </w:r>
    </w:p>
    <w:p w14:paraId="3A8C5259" w14:textId="6744286E" w:rsidR="007D4440" w:rsidRDefault="007D4440" w:rsidP="008E60F1">
      <w:pPr>
        <w:spacing w:after="240"/>
        <w:rPr>
          <w:b/>
          <w:i/>
          <w:sz w:val="20"/>
          <w:szCs w:val="20"/>
        </w:rPr>
      </w:pPr>
      <w:r>
        <w:rPr>
          <w:b/>
          <w:i/>
          <w:sz w:val="20"/>
          <w:szCs w:val="20"/>
        </w:rPr>
        <w:t xml:space="preserve">Proposal 3: </w:t>
      </w:r>
      <w:r w:rsidR="008E60F1">
        <w:rPr>
          <w:b/>
          <w:i/>
          <w:sz w:val="20"/>
          <w:szCs w:val="20"/>
        </w:rPr>
        <w:t>It is important to clearly state and capture 2 receive antennas and 2 transmit antennas as minimum capability that every NR V2X UE need to support in FG 5-1 and 5-2/3, respectively.</w:t>
      </w:r>
    </w:p>
    <w:p w14:paraId="3CCFE49E" w14:textId="79C8ED63" w:rsidR="008E60F1" w:rsidRDefault="008E60F1" w:rsidP="00C86E21">
      <w:pPr>
        <w:spacing w:after="120"/>
        <w:rPr>
          <w:b/>
          <w:i/>
          <w:sz w:val="20"/>
          <w:szCs w:val="20"/>
        </w:rPr>
      </w:pPr>
      <w:r>
        <w:rPr>
          <w:b/>
          <w:i/>
          <w:sz w:val="20"/>
          <w:szCs w:val="20"/>
        </w:rPr>
        <w:t xml:space="preserve">Proposal 4: </w:t>
      </w:r>
      <w:r w:rsidR="00AC6C7C">
        <w:rPr>
          <w:b/>
          <w:i/>
          <w:sz w:val="20"/>
          <w:szCs w:val="20"/>
        </w:rPr>
        <w:t>The current FG 5-7a for 256QAM SL reception is not necessary. I</w:t>
      </w:r>
      <w:r w:rsidR="00AC6C7C" w:rsidRPr="00AC6C7C">
        <w:rPr>
          <w:b/>
          <w:i/>
          <w:sz w:val="20"/>
          <w:szCs w:val="20"/>
        </w:rPr>
        <w:t xml:space="preserve">t can be simply captured in FG 5-7 that “Reception of 256QAM is mandatory” as a note, while FG 5-7 for 256QAM sidelink transmission is </w:t>
      </w:r>
      <w:r w:rsidR="00AC6C7C">
        <w:rPr>
          <w:b/>
          <w:i/>
          <w:sz w:val="20"/>
          <w:szCs w:val="20"/>
        </w:rPr>
        <w:t>“</w:t>
      </w:r>
      <w:r w:rsidR="00AC6C7C" w:rsidRPr="00AC6C7C">
        <w:rPr>
          <w:b/>
          <w:i/>
          <w:sz w:val="20"/>
          <w:szCs w:val="20"/>
        </w:rPr>
        <w:t>optional with capability signalling</w:t>
      </w:r>
      <w:r w:rsidR="00AC6C7C">
        <w:rPr>
          <w:b/>
          <w:i/>
          <w:sz w:val="20"/>
          <w:szCs w:val="20"/>
        </w:rPr>
        <w:t>”</w:t>
      </w:r>
      <w:r w:rsidR="00AC6C7C" w:rsidRPr="00AC6C7C">
        <w:rPr>
          <w:b/>
          <w:i/>
          <w:sz w:val="20"/>
          <w:szCs w:val="20"/>
        </w:rPr>
        <w:t>.</w:t>
      </w:r>
    </w:p>
    <w:p w14:paraId="6E2EC3AA" w14:textId="77777777" w:rsidR="00276E92" w:rsidRPr="00BC0557" w:rsidRDefault="00276E92" w:rsidP="00C86E21">
      <w:pPr>
        <w:spacing w:before="480" w:after="120"/>
        <w:rPr>
          <w:b/>
          <w:sz w:val="22"/>
        </w:rPr>
      </w:pPr>
      <w:r w:rsidRPr="00BC0557">
        <w:rPr>
          <w:b/>
          <w:sz w:val="22"/>
        </w:rPr>
        <w:t>4. References</w:t>
      </w:r>
    </w:p>
    <w:p w14:paraId="1DFB3468" w14:textId="24B1BDE3" w:rsidR="00276E92" w:rsidRDefault="00276E92" w:rsidP="00C86E21">
      <w:pPr>
        <w:tabs>
          <w:tab w:val="left" w:pos="426"/>
        </w:tabs>
        <w:spacing w:after="60"/>
        <w:ind w:left="426" w:hanging="426"/>
        <w:rPr>
          <w:color w:val="000000" w:themeColor="text1"/>
          <w:sz w:val="20"/>
          <w:szCs w:val="20"/>
        </w:rPr>
      </w:pPr>
      <w:r w:rsidRPr="00595AE6">
        <w:rPr>
          <w:sz w:val="20"/>
          <w:szCs w:val="20"/>
        </w:rPr>
        <w:t>[1]</w:t>
      </w:r>
      <w:r w:rsidRPr="00595AE6">
        <w:rPr>
          <w:sz w:val="20"/>
          <w:szCs w:val="20"/>
        </w:rPr>
        <w:tab/>
      </w:r>
      <w:r>
        <w:rPr>
          <w:sz w:val="20"/>
          <w:szCs w:val="20"/>
        </w:rPr>
        <w:t>R1-2001485 “</w:t>
      </w:r>
      <w:r w:rsidRPr="00276E92">
        <w:rPr>
          <w:sz w:val="20"/>
          <w:szCs w:val="20"/>
        </w:rPr>
        <w:t>RAN1 UE features list for Rel-16 LTE after RAN1#100-E</w:t>
      </w:r>
      <w:r>
        <w:rPr>
          <w:sz w:val="20"/>
          <w:szCs w:val="20"/>
        </w:rPr>
        <w:t xml:space="preserve">,” </w:t>
      </w:r>
      <w:r>
        <w:rPr>
          <w:color w:val="000000" w:themeColor="text1"/>
          <w:sz w:val="20"/>
          <w:szCs w:val="20"/>
        </w:rPr>
        <w:t>RAN1#100-e, AT&amp;T, NTT DOCOMO</w:t>
      </w:r>
    </w:p>
    <w:p w14:paraId="51CE6702" w14:textId="6C702C1F" w:rsidR="00E02C13" w:rsidRPr="00276E92" w:rsidRDefault="00E02C13" w:rsidP="00C86E21">
      <w:pPr>
        <w:tabs>
          <w:tab w:val="left" w:pos="426"/>
        </w:tabs>
        <w:spacing w:after="60"/>
        <w:ind w:left="426" w:hanging="426"/>
        <w:rPr>
          <w:color w:val="000000" w:themeColor="text1"/>
          <w:sz w:val="20"/>
          <w:szCs w:val="20"/>
        </w:rPr>
      </w:pPr>
      <w:r>
        <w:rPr>
          <w:color w:val="000000" w:themeColor="text1"/>
          <w:sz w:val="20"/>
          <w:szCs w:val="20"/>
        </w:rPr>
        <w:t>[2]</w:t>
      </w:r>
      <w:r>
        <w:rPr>
          <w:color w:val="000000" w:themeColor="text1"/>
          <w:sz w:val="20"/>
          <w:szCs w:val="20"/>
        </w:rPr>
        <w:tab/>
        <w:t>R1-2001486 “</w:t>
      </w:r>
      <w:r w:rsidRPr="00E02C13">
        <w:rPr>
          <w:color w:val="000000" w:themeColor="text1"/>
          <w:sz w:val="20"/>
          <w:szCs w:val="20"/>
        </w:rPr>
        <w:t>LS on Rel-16 RAN1 UE features lists for LTE</w:t>
      </w:r>
      <w:r>
        <w:rPr>
          <w:color w:val="000000" w:themeColor="text1"/>
          <w:sz w:val="20"/>
          <w:szCs w:val="20"/>
        </w:rPr>
        <w:t>,” RAN1#100-e, AT&amp;T, NTT DOCOMO</w:t>
      </w:r>
    </w:p>
    <w:sectPr w:rsidR="00E02C13" w:rsidRPr="00276E92">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8A345B" w14:textId="77777777" w:rsidR="00146887" w:rsidRDefault="00146887" w:rsidP="00511BDE">
      <w:r>
        <w:separator/>
      </w:r>
    </w:p>
  </w:endnote>
  <w:endnote w:type="continuationSeparator" w:id="0">
    <w:p w14:paraId="76233FFC" w14:textId="77777777" w:rsidR="00146887" w:rsidRDefault="00146887" w:rsidP="00511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D606A" w14:textId="287D5A20" w:rsidR="00511BDE" w:rsidRPr="00511BDE" w:rsidRDefault="00511BDE">
    <w:pPr>
      <w:pStyle w:val="Footer"/>
      <w:jc w:val="center"/>
      <w:rPr>
        <w:rFonts w:ascii="Times New Roman" w:hAnsi="Times New Roman" w:cs="Times New Roman"/>
        <w:sz w:val="20"/>
      </w:rPr>
    </w:pPr>
    <w:r w:rsidRPr="00511BDE">
      <w:rPr>
        <w:rFonts w:ascii="Times New Roman" w:hAnsi="Times New Roman" w:cs="Times New Roman"/>
        <w:sz w:val="20"/>
      </w:rPr>
      <w:t xml:space="preserve">Page </w:t>
    </w:r>
    <w:sdt>
      <w:sdtPr>
        <w:rPr>
          <w:rFonts w:ascii="Times New Roman" w:hAnsi="Times New Roman" w:cs="Times New Roman"/>
          <w:sz w:val="20"/>
        </w:rPr>
        <w:id w:val="-1294593575"/>
        <w:docPartObj>
          <w:docPartGallery w:val="Page Numbers (Bottom of Page)"/>
          <w:docPartUnique/>
        </w:docPartObj>
      </w:sdtPr>
      <w:sdtEndPr>
        <w:rPr>
          <w:noProof/>
        </w:rPr>
      </w:sdtEndPr>
      <w:sdtContent>
        <w:r w:rsidRPr="00511BDE">
          <w:rPr>
            <w:rFonts w:ascii="Times New Roman" w:hAnsi="Times New Roman" w:cs="Times New Roman"/>
            <w:sz w:val="20"/>
          </w:rPr>
          <w:fldChar w:fldCharType="begin"/>
        </w:r>
        <w:r w:rsidRPr="00511BDE">
          <w:rPr>
            <w:rFonts w:ascii="Times New Roman" w:hAnsi="Times New Roman" w:cs="Times New Roman"/>
            <w:sz w:val="20"/>
          </w:rPr>
          <w:instrText xml:space="preserve"> PAGE   \* MERGEFORMAT </w:instrText>
        </w:r>
        <w:r w:rsidRPr="00511BDE">
          <w:rPr>
            <w:rFonts w:ascii="Times New Roman" w:hAnsi="Times New Roman" w:cs="Times New Roman"/>
            <w:sz w:val="20"/>
          </w:rPr>
          <w:fldChar w:fldCharType="separate"/>
        </w:r>
        <w:r w:rsidRPr="00511BDE">
          <w:rPr>
            <w:rFonts w:ascii="Times New Roman" w:hAnsi="Times New Roman" w:cs="Times New Roman"/>
            <w:noProof/>
            <w:sz w:val="20"/>
          </w:rPr>
          <w:t>2</w:t>
        </w:r>
        <w:r w:rsidRPr="00511BDE">
          <w:rPr>
            <w:rFonts w:ascii="Times New Roman" w:hAnsi="Times New Roman" w:cs="Times New Roman"/>
            <w:noProof/>
            <w:sz w:val="20"/>
          </w:rPr>
          <w:fldChar w:fldCharType="end"/>
        </w:r>
      </w:sdtContent>
    </w:sdt>
  </w:p>
  <w:p w14:paraId="0EB60F99" w14:textId="77777777" w:rsidR="00511BDE" w:rsidRDefault="00511B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77AC15" w14:textId="77777777" w:rsidR="00146887" w:rsidRDefault="00146887" w:rsidP="00511BDE">
      <w:r>
        <w:separator/>
      </w:r>
    </w:p>
  </w:footnote>
  <w:footnote w:type="continuationSeparator" w:id="0">
    <w:p w14:paraId="0A94F271" w14:textId="77777777" w:rsidR="00146887" w:rsidRDefault="00146887" w:rsidP="00511B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5F4645"/>
    <w:multiLevelType w:val="hybridMultilevel"/>
    <w:tmpl w:val="34121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0D45BA"/>
    <w:multiLevelType w:val="hybridMultilevel"/>
    <w:tmpl w:val="D116E1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E2292D"/>
    <w:multiLevelType w:val="hybridMultilevel"/>
    <w:tmpl w:val="991C3C08"/>
    <w:lvl w:ilvl="0" w:tplc="909AFA78">
      <w:start w:val="1"/>
      <w:numFmt w:val="bullet"/>
      <w:lvlText w:val="•"/>
      <w:lvlJc w:val="left"/>
      <w:pPr>
        <w:tabs>
          <w:tab w:val="num" w:pos="720"/>
        </w:tabs>
        <w:ind w:left="720" w:hanging="360"/>
      </w:pPr>
      <w:rPr>
        <w:rFonts w:ascii="Arial" w:hAnsi="Arial" w:hint="default"/>
      </w:rPr>
    </w:lvl>
    <w:lvl w:ilvl="1" w:tplc="8054957E">
      <w:start w:val="1"/>
      <w:numFmt w:val="bullet"/>
      <w:lvlText w:val="•"/>
      <w:lvlJc w:val="left"/>
      <w:pPr>
        <w:tabs>
          <w:tab w:val="num" w:pos="1440"/>
        </w:tabs>
        <w:ind w:left="1440" w:hanging="360"/>
      </w:pPr>
      <w:rPr>
        <w:rFonts w:ascii="Arial" w:hAnsi="Arial" w:hint="default"/>
      </w:rPr>
    </w:lvl>
    <w:lvl w:ilvl="2" w:tplc="6C4E8BA8">
      <w:start w:val="25"/>
      <w:numFmt w:val="bullet"/>
      <w:lvlText w:val="•"/>
      <w:lvlJc w:val="left"/>
      <w:pPr>
        <w:tabs>
          <w:tab w:val="num" w:pos="2160"/>
        </w:tabs>
        <w:ind w:left="2160" w:hanging="360"/>
      </w:pPr>
      <w:rPr>
        <w:rFonts w:ascii="Arial" w:hAnsi="Arial" w:hint="default"/>
      </w:rPr>
    </w:lvl>
    <w:lvl w:ilvl="3" w:tplc="13840F04" w:tentative="1">
      <w:start w:val="1"/>
      <w:numFmt w:val="bullet"/>
      <w:lvlText w:val="•"/>
      <w:lvlJc w:val="left"/>
      <w:pPr>
        <w:tabs>
          <w:tab w:val="num" w:pos="2880"/>
        </w:tabs>
        <w:ind w:left="2880" w:hanging="360"/>
      </w:pPr>
      <w:rPr>
        <w:rFonts w:ascii="Arial" w:hAnsi="Arial" w:hint="default"/>
      </w:rPr>
    </w:lvl>
    <w:lvl w:ilvl="4" w:tplc="91609422" w:tentative="1">
      <w:start w:val="1"/>
      <w:numFmt w:val="bullet"/>
      <w:lvlText w:val="•"/>
      <w:lvlJc w:val="left"/>
      <w:pPr>
        <w:tabs>
          <w:tab w:val="num" w:pos="3600"/>
        </w:tabs>
        <w:ind w:left="3600" w:hanging="360"/>
      </w:pPr>
      <w:rPr>
        <w:rFonts w:ascii="Arial" w:hAnsi="Arial" w:hint="default"/>
      </w:rPr>
    </w:lvl>
    <w:lvl w:ilvl="5" w:tplc="7ED88618" w:tentative="1">
      <w:start w:val="1"/>
      <w:numFmt w:val="bullet"/>
      <w:lvlText w:val="•"/>
      <w:lvlJc w:val="left"/>
      <w:pPr>
        <w:tabs>
          <w:tab w:val="num" w:pos="4320"/>
        </w:tabs>
        <w:ind w:left="4320" w:hanging="360"/>
      </w:pPr>
      <w:rPr>
        <w:rFonts w:ascii="Arial" w:hAnsi="Arial" w:hint="default"/>
      </w:rPr>
    </w:lvl>
    <w:lvl w:ilvl="6" w:tplc="CD584160" w:tentative="1">
      <w:start w:val="1"/>
      <w:numFmt w:val="bullet"/>
      <w:lvlText w:val="•"/>
      <w:lvlJc w:val="left"/>
      <w:pPr>
        <w:tabs>
          <w:tab w:val="num" w:pos="5040"/>
        </w:tabs>
        <w:ind w:left="5040" w:hanging="360"/>
      </w:pPr>
      <w:rPr>
        <w:rFonts w:ascii="Arial" w:hAnsi="Arial" w:hint="default"/>
      </w:rPr>
    </w:lvl>
    <w:lvl w:ilvl="7" w:tplc="91783382" w:tentative="1">
      <w:start w:val="1"/>
      <w:numFmt w:val="bullet"/>
      <w:lvlText w:val="•"/>
      <w:lvlJc w:val="left"/>
      <w:pPr>
        <w:tabs>
          <w:tab w:val="num" w:pos="5760"/>
        </w:tabs>
        <w:ind w:left="5760" w:hanging="360"/>
      </w:pPr>
      <w:rPr>
        <w:rFonts w:ascii="Arial" w:hAnsi="Arial" w:hint="default"/>
      </w:rPr>
    </w:lvl>
    <w:lvl w:ilvl="8" w:tplc="811C976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137FD5"/>
    <w:multiLevelType w:val="hybridMultilevel"/>
    <w:tmpl w:val="DD9E78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79E1D3A"/>
    <w:multiLevelType w:val="hybridMultilevel"/>
    <w:tmpl w:val="F2068144"/>
    <w:lvl w:ilvl="0" w:tplc="75C44F82">
      <w:start w:val="1"/>
      <w:numFmt w:val="bullet"/>
      <w:lvlText w:val="•"/>
      <w:lvlJc w:val="left"/>
      <w:pPr>
        <w:tabs>
          <w:tab w:val="num" w:pos="360"/>
        </w:tabs>
        <w:ind w:left="360" w:hanging="360"/>
      </w:pPr>
      <w:rPr>
        <w:rFonts w:ascii="Arial" w:hAnsi="Arial" w:hint="default"/>
      </w:rPr>
    </w:lvl>
    <w:lvl w:ilvl="1" w:tplc="9146D2C2">
      <w:start w:val="277"/>
      <w:numFmt w:val="bullet"/>
      <w:lvlText w:val="–"/>
      <w:lvlJc w:val="left"/>
      <w:pPr>
        <w:tabs>
          <w:tab w:val="num" w:pos="1080"/>
        </w:tabs>
        <w:ind w:left="1080" w:hanging="360"/>
      </w:pPr>
      <w:rPr>
        <w:rFonts w:ascii="Arial" w:hAnsi="Arial" w:hint="default"/>
      </w:rPr>
    </w:lvl>
    <w:lvl w:ilvl="2" w:tplc="EA321556" w:tentative="1">
      <w:start w:val="1"/>
      <w:numFmt w:val="bullet"/>
      <w:lvlText w:val="•"/>
      <w:lvlJc w:val="left"/>
      <w:pPr>
        <w:tabs>
          <w:tab w:val="num" w:pos="1800"/>
        </w:tabs>
        <w:ind w:left="1800" w:hanging="360"/>
      </w:pPr>
      <w:rPr>
        <w:rFonts w:ascii="Arial" w:hAnsi="Arial" w:hint="default"/>
      </w:rPr>
    </w:lvl>
    <w:lvl w:ilvl="3" w:tplc="0234E030" w:tentative="1">
      <w:start w:val="1"/>
      <w:numFmt w:val="bullet"/>
      <w:lvlText w:val="•"/>
      <w:lvlJc w:val="left"/>
      <w:pPr>
        <w:tabs>
          <w:tab w:val="num" w:pos="2520"/>
        </w:tabs>
        <w:ind w:left="2520" w:hanging="360"/>
      </w:pPr>
      <w:rPr>
        <w:rFonts w:ascii="Arial" w:hAnsi="Arial" w:hint="default"/>
      </w:rPr>
    </w:lvl>
    <w:lvl w:ilvl="4" w:tplc="19B6D838" w:tentative="1">
      <w:start w:val="1"/>
      <w:numFmt w:val="bullet"/>
      <w:lvlText w:val="•"/>
      <w:lvlJc w:val="left"/>
      <w:pPr>
        <w:tabs>
          <w:tab w:val="num" w:pos="3240"/>
        </w:tabs>
        <w:ind w:left="3240" w:hanging="360"/>
      </w:pPr>
      <w:rPr>
        <w:rFonts w:ascii="Arial" w:hAnsi="Arial" w:hint="default"/>
      </w:rPr>
    </w:lvl>
    <w:lvl w:ilvl="5" w:tplc="9BF0B006" w:tentative="1">
      <w:start w:val="1"/>
      <w:numFmt w:val="bullet"/>
      <w:lvlText w:val="•"/>
      <w:lvlJc w:val="left"/>
      <w:pPr>
        <w:tabs>
          <w:tab w:val="num" w:pos="3960"/>
        </w:tabs>
        <w:ind w:left="3960" w:hanging="360"/>
      </w:pPr>
      <w:rPr>
        <w:rFonts w:ascii="Arial" w:hAnsi="Arial" w:hint="default"/>
      </w:rPr>
    </w:lvl>
    <w:lvl w:ilvl="6" w:tplc="6EB48DA6" w:tentative="1">
      <w:start w:val="1"/>
      <w:numFmt w:val="bullet"/>
      <w:lvlText w:val="•"/>
      <w:lvlJc w:val="left"/>
      <w:pPr>
        <w:tabs>
          <w:tab w:val="num" w:pos="4680"/>
        </w:tabs>
        <w:ind w:left="4680" w:hanging="360"/>
      </w:pPr>
      <w:rPr>
        <w:rFonts w:ascii="Arial" w:hAnsi="Arial" w:hint="default"/>
      </w:rPr>
    </w:lvl>
    <w:lvl w:ilvl="7" w:tplc="B3929BF4" w:tentative="1">
      <w:start w:val="1"/>
      <w:numFmt w:val="bullet"/>
      <w:lvlText w:val="•"/>
      <w:lvlJc w:val="left"/>
      <w:pPr>
        <w:tabs>
          <w:tab w:val="num" w:pos="5400"/>
        </w:tabs>
        <w:ind w:left="5400" w:hanging="360"/>
      </w:pPr>
      <w:rPr>
        <w:rFonts w:ascii="Arial" w:hAnsi="Arial" w:hint="default"/>
      </w:rPr>
    </w:lvl>
    <w:lvl w:ilvl="8" w:tplc="49443A74"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95E85"/>
    <w:multiLevelType w:val="hybridMultilevel"/>
    <w:tmpl w:val="DD56DB28"/>
    <w:lvl w:ilvl="0" w:tplc="07FCB72C">
      <w:start w:val="1"/>
      <w:numFmt w:val="bullet"/>
      <w:lvlText w:val="•"/>
      <w:lvlJc w:val="left"/>
      <w:pPr>
        <w:tabs>
          <w:tab w:val="num" w:pos="720"/>
        </w:tabs>
        <w:ind w:left="720" w:hanging="360"/>
      </w:pPr>
      <w:rPr>
        <w:rFonts w:ascii="Arial" w:hAnsi="Arial" w:hint="default"/>
      </w:rPr>
    </w:lvl>
    <w:lvl w:ilvl="1" w:tplc="A87AF60E">
      <w:start w:val="1"/>
      <w:numFmt w:val="bullet"/>
      <w:lvlText w:val="•"/>
      <w:lvlJc w:val="left"/>
      <w:pPr>
        <w:tabs>
          <w:tab w:val="num" w:pos="1440"/>
        </w:tabs>
        <w:ind w:left="1440" w:hanging="360"/>
      </w:pPr>
      <w:rPr>
        <w:rFonts w:ascii="Arial" w:hAnsi="Arial" w:hint="default"/>
      </w:rPr>
    </w:lvl>
    <w:lvl w:ilvl="2" w:tplc="12BE5288">
      <w:start w:val="23002"/>
      <w:numFmt w:val="bullet"/>
      <w:lvlText w:val="•"/>
      <w:lvlJc w:val="left"/>
      <w:pPr>
        <w:tabs>
          <w:tab w:val="num" w:pos="2160"/>
        </w:tabs>
        <w:ind w:left="2160" w:hanging="360"/>
      </w:pPr>
      <w:rPr>
        <w:rFonts w:ascii="Arial" w:hAnsi="Arial" w:hint="default"/>
      </w:rPr>
    </w:lvl>
    <w:lvl w:ilvl="3" w:tplc="BDCE124E">
      <w:start w:val="23002"/>
      <w:numFmt w:val="bullet"/>
      <w:lvlText w:val="•"/>
      <w:lvlJc w:val="left"/>
      <w:pPr>
        <w:tabs>
          <w:tab w:val="num" w:pos="2880"/>
        </w:tabs>
        <w:ind w:left="2880" w:hanging="360"/>
      </w:pPr>
      <w:rPr>
        <w:rFonts w:ascii="Arial" w:hAnsi="Arial" w:hint="default"/>
      </w:rPr>
    </w:lvl>
    <w:lvl w:ilvl="4" w:tplc="B7E0A104" w:tentative="1">
      <w:start w:val="1"/>
      <w:numFmt w:val="bullet"/>
      <w:lvlText w:val="•"/>
      <w:lvlJc w:val="left"/>
      <w:pPr>
        <w:tabs>
          <w:tab w:val="num" w:pos="3600"/>
        </w:tabs>
        <w:ind w:left="3600" w:hanging="360"/>
      </w:pPr>
      <w:rPr>
        <w:rFonts w:ascii="Arial" w:hAnsi="Arial" w:hint="default"/>
      </w:rPr>
    </w:lvl>
    <w:lvl w:ilvl="5" w:tplc="8E8622B8" w:tentative="1">
      <w:start w:val="1"/>
      <w:numFmt w:val="bullet"/>
      <w:lvlText w:val="•"/>
      <w:lvlJc w:val="left"/>
      <w:pPr>
        <w:tabs>
          <w:tab w:val="num" w:pos="4320"/>
        </w:tabs>
        <w:ind w:left="4320" w:hanging="360"/>
      </w:pPr>
      <w:rPr>
        <w:rFonts w:ascii="Arial" w:hAnsi="Arial" w:hint="default"/>
      </w:rPr>
    </w:lvl>
    <w:lvl w:ilvl="6" w:tplc="45789DA8" w:tentative="1">
      <w:start w:val="1"/>
      <w:numFmt w:val="bullet"/>
      <w:lvlText w:val="•"/>
      <w:lvlJc w:val="left"/>
      <w:pPr>
        <w:tabs>
          <w:tab w:val="num" w:pos="5040"/>
        </w:tabs>
        <w:ind w:left="5040" w:hanging="360"/>
      </w:pPr>
      <w:rPr>
        <w:rFonts w:ascii="Arial" w:hAnsi="Arial" w:hint="default"/>
      </w:rPr>
    </w:lvl>
    <w:lvl w:ilvl="7" w:tplc="A712E228" w:tentative="1">
      <w:start w:val="1"/>
      <w:numFmt w:val="bullet"/>
      <w:lvlText w:val="•"/>
      <w:lvlJc w:val="left"/>
      <w:pPr>
        <w:tabs>
          <w:tab w:val="num" w:pos="5760"/>
        </w:tabs>
        <w:ind w:left="5760" w:hanging="360"/>
      </w:pPr>
      <w:rPr>
        <w:rFonts w:ascii="Arial" w:hAnsi="Arial" w:hint="default"/>
      </w:rPr>
    </w:lvl>
    <w:lvl w:ilvl="8" w:tplc="A02C29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3B152D2"/>
    <w:multiLevelType w:val="hybridMultilevel"/>
    <w:tmpl w:val="09B234C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C367C"/>
    <w:multiLevelType w:val="hybridMultilevel"/>
    <w:tmpl w:val="A030E5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16E6323"/>
    <w:multiLevelType w:val="hybridMultilevel"/>
    <w:tmpl w:val="82489162"/>
    <w:lvl w:ilvl="0" w:tplc="001EC762">
      <w:numFmt w:val="bullet"/>
      <w:lvlText w:val=""/>
      <w:lvlJc w:val="left"/>
      <w:pPr>
        <w:ind w:left="720" w:hanging="360"/>
      </w:pPr>
      <w:rPr>
        <w:rFonts w:ascii="Symbol" w:eastAsia="Batang"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3DD2F3C"/>
    <w:multiLevelType w:val="hybridMultilevel"/>
    <w:tmpl w:val="A2BCA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FF5F2B"/>
    <w:multiLevelType w:val="multilevel"/>
    <w:tmpl w:val="9EDE29B2"/>
    <w:lvl w:ilvl="0">
      <w:start w:val="7"/>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9AB692C"/>
    <w:multiLevelType w:val="hybridMultilevel"/>
    <w:tmpl w:val="AA865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8E1B9F"/>
    <w:multiLevelType w:val="hybridMultilevel"/>
    <w:tmpl w:val="A39C1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0561C6"/>
    <w:multiLevelType w:val="hybridMultilevel"/>
    <w:tmpl w:val="7F8246A2"/>
    <w:lvl w:ilvl="0" w:tplc="19D6A18E">
      <w:start w:val="1"/>
      <w:numFmt w:val="bullet"/>
      <w:lvlText w:val="•"/>
      <w:lvlJc w:val="left"/>
      <w:pPr>
        <w:tabs>
          <w:tab w:val="num" w:pos="720"/>
        </w:tabs>
        <w:ind w:left="720" w:hanging="360"/>
      </w:pPr>
      <w:rPr>
        <w:rFonts w:ascii="Arial" w:hAnsi="Arial" w:hint="default"/>
      </w:rPr>
    </w:lvl>
    <w:lvl w:ilvl="1" w:tplc="3D5ECA52">
      <w:start w:val="1"/>
      <w:numFmt w:val="bullet"/>
      <w:lvlText w:val="•"/>
      <w:lvlJc w:val="left"/>
      <w:pPr>
        <w:tabs>
          <w:tab w:val="num" w:pos="1440"/>
        </w:tabs>
        <w:ind w:left="1440" w:hanging="360"/>
      </w:pPr>
      <w:rPr>
        <w:rFonts w:ascii="Arial" w:hAnsi="Arial" w:hint="default"/>
      </w:rPr>
    </w:lvl>
    <w:lvl w:ilvl="2" w:tplc="5B0896AC" w:tentative="1">
      <w:start w:val="1"/>
      <w:numFmt w:val="bullet"/>
      <w:lvlText w:val="•"/>
      <w:lvlJc w:val="left"/>
      <w:pPr>
        <w:tabs>
          <w:tab w:val="num" w:pos="2160"/>
        </w:tabs>
        <w:ind w:left="2160" w:hanging="360"/>
      </w:pPr>
      <w:rPr>
        <w:rFonts w:ascii="Arial" w:hAnsi="Arial" w:hint="default"/>
      </w:rPr>
    </w:lvl>
    <w:lvl w:ilvl="3" w:tplc="ABA6B056">
      <w:start w:val="25"/>
      <w:numFmt w:val="bullet"/>
      <w:lvlText w:val="•"/>
      <w:lvlJc w:val="left"/>
      <w:pPr>
        <w:tabs>
          <w:tab w:val="num" w:pos="2880"/>
        </w:tabs>
        <w:ind w:left="2880" w:hanging="360"/>
      </w:pPr>
      <w:rPr>
        <w:rFonts w:ascii="Arial" w:hAnsi="Arial" w:hint="default"/>
      </w:rPr>
    </w:lvl>
    <w:lvl w:ilvl="4" w:tplc="70AAB656" w:tentative="1">
      <w:start w:val="1"/>
      <w:numFmt w:val="bullet"/>
      <w:lvlText w:val="•"/>
      <w:lvlJc w:val="left"/>
      <w:pPr>
        <w:tabs>
          <w:tab w:val="num" w:pos="3600"/>
        </w:tabs>
        <w:ind w:left="3600" w:hanging="360"/>
      </w:pPr>
      <w:rPr>
        <w:rFonts w:ascii="Arial" w:hAnsi="Arial" w:hint="default"/>
      </w:rPr>
    </w:lvl>
    <w:lvl w:ilvl="5" w:tplc="7ACEC150" w:tentative="1">
      <w:start w:val="1"/>
      <w:numFmt w:val="bullet"/>
      <w:lvlText w:val="•"/>
      <w:lvlJc w:val="left"/>
      <w:pPr>
        <w:tabs>
          <w:tab w:val="num" w:pos="4320"/>
        </w:tabs>
        <w:ind w:left="4320" w:hanging="360"/>
      </w:pPr>
      <w:rPr>
        <w:rFonts w:ascii="Arial" w:hAnsi="Arial" w:hint="default"/>
      </w:rPr>
    </w:lvl>
    <w:lvl w:ilvl="6" w:tplc="92287386" w:tentative="1">
      <w:start w:val="1"/>
      <w:numFmt w:val="bullet"/>
      <w:lvlText w:val="•"/>
      <w:lvlJc w:val="left"/>
      <w:pPr>
        <w:tabs>
          <w:tab w:val="num" w:pos="5040"/>
        </w:tabs>
        <w:ind w:left="5040" w:hanging="360"/>
      </w:pPr>
      <w:rPr>
        <w:rFonts w:ascii="Arial" w:hAnsi="Arial" w:hint="default"/>
      </w:rPr>
    </w:lvl>
    <w:lvl w:ilvl="7" w:tplc="59F0B256" w:tentative="1">
      <w:start w:val="1"/>
      <w:numFmt w:val="bullet"/>
      <w:lvlText w:val="•"/>
      <w:lvlJc w:val="left"/>
      <w:pPr>
        <w:tabs>
          <w:tab w:val="num" w:pos="5760"/>
        </w:tabs>
        <w:ind w:left="5760" w:hanging="360"/>
      </w:pPr>
      <w:rPr>
        <w:rFonts w:ascii="Arial" w:hAnsi="Arial" w:hint="default"/>
      </w:rPr>
    </w:lvl>
    <w:lvl w:ilvl="8" w:tplc="0F3CC64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95A1C92"/>
    <w:multiLevelType w:val="hybridMultilevel"/>
    <w:tmpl w:val="05F4BD5C"/>
    <w:lvl w:ilvl="0" w:tplc="084A7E5C">
      <w:start w:val="4"/>
      <w:numFmt w:val="bullet"/>
      <w:lvlText w:val=""/>
      <w:lvlJc w:val="left"/>
      <w:pPr>
        <w:ind w:left="720" w:hanging="360"/>
      </w:pPr>
      <w:rPr>
        <w:rFonts w:ascii="Symbol" w:eastAsia="SimSu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cs="Wingdings" w:hint="default"/>
      </w:rPr>
    </w:lvl>
    <w:lvl w:ilvl="3" w:tplc="0C090001" w:tentative="1">
      <w:start w:val="1"/>
      <w:numFmt w:val="bullet"/>
      <w:lvlText w:val=""/>
      <w:lvlJc w:val="left"/>
      <w:pPr>
        <w:ind w:left="2880" w:hanging="360"/>
      </w:pPr>
      <w:rPr>
        <w:rFonts w:ascii="Symbol" w:hAnsi="Symbol" w:cs="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cs="Wingdings" w:hint="default"/>
      </w:rPr>
    </w:lvl>
    <w:lvl w:ilvl="6" w:tplc="0C090001" w:tentative="1">
      <w:start w:val="1"/>
      <w:numFmt w:val="bullet"/>
      <w:lvlText w:val=""/>
      <w:lvlJc w:val="left"/>
      <w:pPr>
        <w:ind w:left="5040" w:hanging="360"/>
      </w:pPr>
      <w:rPr>
        <w:rFonts w:ascii="Symbol" w:hAnsi="Symbol" w:cs="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521285"/>
    <w:multiLevelType w:val="hybridMultilevel"/>
    <w:tmpl w:val="68E20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83E5794"/>
    <w:multiLevelType w:val="hybridMultilevel"/>
    <w:tmpl w:val="3A067DD4"/>
    <w:lvl w:ilvl="0" w:tplc="04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A842102"/>
    <w:multiLevelType w:val="hybridMultilevel"/>
    <w:tmpl w:val="0884F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5E332C"/>
    <w:multiLevelType w:val="hybridMultilevel"/>
    <w:tmpl w:val="ABA0A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D9A5F67"/>
    <w:multiLevelType w:val="hybridMultilevel"/>
    <w:tmpl w:val="71D8F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FEB39D1"/>
    <w:multiLevelType w:val="hybridMultilevel"/>
    <w:tmpl w:val="97A62D1E"/>
    <w:lvl w:ilvl="0" w:tplc="424EF5D6">
      <w:start w:val="1"/>
      <w:numFmt w:val="bullet"/>
      <w:lvlText w:val="•"/>
      <w:lvlJc w:val="left"/>
      <w:pPr>
        <w:tabs>
          <w:tab w:val="num" w:pos="360"/>
        </w:tabs>
        <w:ind w:left="360" w:hanging="360"/>
      </w:pPr>
      <w:rPr>
        <w:rFonts w:ascii="Arial" w:hAnsi="Arial" w:hint="default"/>
      </w:rPr>
    </w:lvl>
    <w:lvl w:ilvl="1" w:tplc="AFDACE02">
      <w:start w:val="277"/>
      <w:numFmt w:val="bullet"/>
      <w:lvlText w:val="–"/>
      <w:lvlJc w:val="left"/>
      <w:pPr>
        <w:tabs>
          <w:tab w:val="num" w:pos="1080"/>
        </w:tabs>
        <w:ind w:left="1080" w:hanging="360"/>
      </w:pPr>
      <w:rPr>
        <w:rFonts w:ascii="Arial" w:hAnsi="Arial" w:hint="default"/>
      </w:rPr>
    </w:lvl>
    <w:lvl w:ilvl="2" w:tplc="99C83A78">
      <w:start w:val="277"/>
      <w:numFmt w:val="bullet"/>
      <w:lvlText w:val="•"/>
      <w:lvlJc w:val="left"/>
      <w:pPr>
        <w:tabs>
          <w:tab w:val="num" w:pos="1800"/>
        </w:tabs>
        <w:ind w:left="1800" w:hanging="360"/>
      </w:pPr>
      <w:rPr>
        <w:rFonts w:ascii="Arial" w:hAnsi="Arial" w:hint="default"/>
      </w:rPr>
    </w:lvl>
    <w:lvl w:ilvl="3" w:tplc="74F8BE28">
      <w:start w:val="277"/>
      <w:numFmt w:val="bullet"/>
      <w:lvlText w:val="–"/>
      <w:lvlJc w:val="left"/>
      <w:pPr>
        <w:tabs>
          <w:tab w:val="num" w:pos="2520"/>
        </w:tabs>
        <w:ind w:left="2520" w:hanging="360"/>
      </w:pPr>
      <w:rPr>
        <w:rFonts w:ascii="Arial" w:hAnsi="Arial" w:hint="default"/>
      </w:rPr>
    </w:lvl>
    <w:lvl w:ilvl="4" w:tplc="7A6CDF1E" w:tentative="1">
      <w:start w:val="1"/>
      <w:numFmt w:val="bullet"/>
      <w:lvlText w:val="•"/>
      <w:lvlJc w:val="left"/>
      <w:pPr>
        <w:tabs>
          <w:tab w:val="num" w:pos="3240"/>
        </w:tabs>
        <w:ind w:left="3240" w:hanging="360"/>
      </w:pPr>
      <w:rPr>
        <w:rFonts w:ascii="Arial" w:hAnsi="Arial" w:hint="default"/>
      </w:rPr>
    </w:lvl>
    <w:lvl w:ilvl="5" w:tplc="0BB68B72" w:tentative="1">
      <w:start w:val="1"/>
      <w:numFmt w:val="bullet"/>
      <w:lvlText w:val="•"/>
      <w:lvlJc w:val="left"/>
      <w:pPr>
        <w:tabs>
          <w:tab w:val="num" w:pos="3960"/>
        </w:tabs>
        <w:ind w:left="3960" w:hanging="360"/>
      </w:pPr>
      <w:rPr>
        <w:rFonts w:ascii="Arial" w:hAnsi="Arial" w:hint="default"/>
      </w:rPr>
    </w:lvl>
    <w:lvl w:ilvl="6" w:tplc="1D98C7A6" w:tentative="1">
      <w:start w:val="1"/>
      <w:numFmt w:val="bullet"/>
      <w:lvlText w:val="•"/>
      <w:lvlJc w:val="left"/>
      <w:pPr>
        <w:tabs>
          <w:tab w:val="num" w:pos="4680"/>
        </w:tabs>
        <w:ind w:left="4680" w:hanging="360"/>
      </w:pPr>
      <w:rPr>
        <w:rFonts w:ascii="Arial" w:hAnsi="Arial" w:hint="default"/>
      </w:rPr>
    </w:lvl>
    <w:lvl w:ilvl="7" w:tplc="D716E568" w:tentative="1">
      <w:start w:val="1"/>
      <w:numFmt w:val="bullet"/>
      <w:lvlText w:val="•"/>
      <w:lvlJc w:val="left"/>
      <w:pPr>
        <w:tabs>
          <w:tab w:val="num" w:pos="5400"/>
        </w:tabs>
        <w:ind w:left="5400" w:hanging="360"/>
      </w:pPr>
      <w:rPr>
        <w:rFonts w:ascii="Arial" w:hAnsi="Arial" w:hint="default"/>
      </w:rPr>
    </w:lvl>
    <w:lvl w:ilvl="8" w:tplc="7ECE44A2" w:tentative="1">
      <w:start w:val="1"/>
      <w:numFmt w:val="bullet"/>
      <w:lvlText w:val="•"/>
      <w:lvlJc w:val="left"/>
      <w:pPr>
        <w:tabs>
          <w:tab w:val="num" w:pos="6120"/>
        </w:tabs>
        <w:ind w:left="6120" w:hanging="360"/>
      </w:pPr>
      <w:rPr>
        <w:rFonts w:ascii="Arial" w:hAnsi="Arial" w:hint="default"/>
      </w:rPr>
    </w:lvl>
  </w:abstractNum>
  <w:num w:numId="1">
    <w:abstractNumId w:val="11"/>
  </w:num>
  <w:num w:numId="2">
    <w:abstractNumId w:val="30"/>
  </w:num>
  <w:num w:numId="3">
    <w:abstractNumId w:val="28"/>
  </w:num>
  <w:num w:numId="4">
    <w:abstractNumId w:val="20"/>
  </w:num>
  <w:num w:numId="5">
    <w:abstractNumId w:val="2"/>
  </w:num>
  <w:num w:numId="6">
    <w:abstractNumId w:val="20"/>
  </w:num>
  <w:num w:numId="7">
    <w:abstractNumId w:val="20"/>
  </w:num>
  <w:num w:numId="8">
    <w:abstractNumId w:val="20"/>
  </w:num>
  <w:num w:numId="9">
    <w:abstractNumId w:val="20"/>
  </w:num>
  <w:num w:numId="10">
    <w:abstractNumId w:val="0"/>
  </w:num>
  <w:num w:numId="11">
    <w:abstractNumId w:val="21"/>
  </w:num>
  <w:num w:numId="12">
    <w:abstractNumId w:val="27"/>
  </w:num>
  <w:num w:numId="13">
    <w:abstractNumId w:val="1"/>
  </w:num>
  <w:num w:numId="14">
    <w:abstractNumId w:val="15"/>
  </w:num>
  <w:num w:numId="15">
    <w:abstractNumId w:val="8"/>
  </w:num>
  <w:num w:numId="16">
    <w:abstractNumId w:val="33"/>
  </w:num>
  <w:num w:numId="17">
    <w:abstractNumId w:val="16"/>
  </w:num>
  <w:num w:numId="18">
    <w:abstractNumId w:val="4"/>
  </w:num>
  <w:num w:numId="19">
    <w:abstractNumId w:val="18"/>
  </w:num>
  <w:num w:numId="20">
    <w:abstractNumId w:val="23"/>
  </w:num>
  <w:num w:numId="21">
    <w:abstractNumId w:val="6"/>
  </w:num>
  <w:num w:numId="22">
    <w:abstractNumId w:val="31"/>
  </w:num>
  <w:num w:numId="23">
    <w:abstractNumId w:val="22"/>
  </w:num>
  <w:num w:numId="24">
    <w:abstractNumId w:val="19"/>
  </w:num>
  <w:num w:numId="25">
    <w:abstractNumId w:val="17"/>
  </w:num>
  <w:num w:numId="26">
    <w:abstractNumId w:val="5"/>
  </w:num>
  <w:num w:numId="27">
    <w:abstractNumId w:val="25"/>
  </w:num>
  <w:num w:numId="28">
    <w:abstractNumId w:val="12"/>
  </w:num>
  <w:num w:numId="29">
    <w:abstractNumId w:val="10"/>
  </w:num>
  <w:num w:numId="30">
    <w:abstractNumId w:val="14"/>
  </w:num>
  <w:num w:numId="31">
    <w:abstractNumId w:val="9"/>
  </w:num>
  <w:num w:numId="32">
    <w:abstractNumId w:val="29"/>
  </w:num>
  <w:num w:numId="33">
    <w:abstractNumId w:val="32"/>
  </w:num>
  <w:num w:numId="34">
    <w:abstractNumId w:val="25"/>
  </w:num>
  <w:num w:numId="35">
    <w:abstractNumId w:val="29"/>
  </w:num>
  <w:num w:numId="36">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57"/>
    <w:rsid w:val="00025569"/>
    <w:rsid w:val="00036438"/>
    <w:rsid w:val="000416C0"/>
    <w:rsid w:val="0004679C"/>
    <w:rsid w:val="00053E4E"/>
    <w:rsid w:val="0007695E"/>
    <w:rsid w:val="000916AE"/>
    <w:rsid w:val="00093C02"/>
    <w:rsid w:val="00096409"/>
    <w:rsid w:val="000A4750"/>
    <w:rsid w:val="000A5226"/>
    <w:rsid w:val="000D0A1D"/>
    <w:rsid w:val="000E2C50"/>
    <w:rsid w:val="00106103"/>
    <w:rsid w:val="00106B02"/>
    <w:rsid w:val="00116AEB"/>
    <w:rsid w:val="00145600"/>
    <w:rsid w:val="00146887"/>
    <w:rsid w:val="001546FA"/>
    <w:rsid w:val="00157F24"/>
    <w:rsid w:val="00160785"/>
    <w:rsid w:val="00164673"/>
    <w:rsid w:val="001652D6"/>
    <w:rsid w:val="00167A4E"/>
    <w:rsid w:val="00171A43"/>
    <w:rsid w:val="001728C1"/>
    <w:rsid w:val="00174BFC"/>
    <w:rsid w:val="00183804"/>
    <w:rsid w:val="00185DDA"/>
    <w:rsid w:val="001866C7"/>
    <w:rsid w:val="00187D96"/>
    <w:rsid w:val="00192047"/>
    <w:rsid w:val="001A74CB"/>
    <w:rsid w:val="001C4A2A"/>
    <w:rsid w:val="001D6BAF"/>
    <w:rsid w:val="001E76A3"/>
    <w:rsid w:val="001F006C"/>
    <w:rsid w:val="001F0A9C"/>
    <w:rsid w:val="001F6548"/>
    <w:rsid w:val="00204464"/>
    <w:rsid w:val="00216862"/>
    <w:rsid w:val="002241E8"/>
    <w:rsid w:val="002256E9"/>
    <w:rsid w:val="00233380"/>
    <w:rsid w:val="00233469"/>
    <w:rsid w:val="00241C45"/>
    <w:rsid w:val="00246379"/>
    <w:rsid w:val="00246872"/>
    <w:rsid w:val="00267F62"/>
    <w:rsid w:val="00274E92"/>
    <w:rsid w:val="002766FF"/>
    <w:rsid w:val="00276E92"/>
    <w:rsid w:val="00286CBC"/>
    <w:rsid w:val="00295566"/>
    <w:rsid w:val="002A09BD"/>
    <w:rsid w:val="002A48E2"/>
    <w:rsid w:val="002A6143"/>
    <w:rsid w:val="002B5CFD"/>
    <w:rsid w:val="002E6DFD"/>
    <w:rsid w:val="00305EFA"/>
    <w:rsid w:val="00311E4D"/>
    <w:rsid w:val="0031286C"/>
    <w:rsid w:val="0031500A"/>
    <w:rsid w:val="00351C4E"/>
    <w:rsid w:val="00353A59"/>
    <w:rsid w:val="00354CC5"/>
    <w:rsid w:val="00362044"/>
    <w:rsid w:val="00390468"/>
    <w:rsid w:val="00392DDA"/>
    <w:rsid w:val="00393F69"/>
    <w:rsid w:val="003958D7"/>
    <w:rsid w:val="003A5F5F"/>
    <w:rsid w:val="003B0B70"/>
    <w:rsid w:val="003C0DE5"/>
    <w:rsid w:val="003D07CF"/>
    <w:rsid w:val="003E2817"/>
    <w:rsid w:val="003E387D"/>
    <w:rsid w:val="003E6210"/>
    <w:rsid w:val="00420BE7"/>
    <w:rsid w:val="00442D8B"/>
    <w:rsid w:val="00444473"/>
    <w:rsid w:val="0045688F"/>
    <w:rsid w:val="00460356"/>
    <w:rsid w:val="00465B84"/>
    <w:rsid w:val="00472914"/>
    <w:rsid w:val="0047317F"/>
    <w:rsid w:val="00481B27"/>
    <w:rsid w:val="00482D43"/>
    <w:rsid w:val="00485DEA"/>
    <w:rsid w:val="004919B6"/>
    <w:rsid w:val="004941C0"/>
    <w:rsid w:val="00497EBB"/>
    <w:rsid w:val="004A66AD"/>
    <w:rsid w:val="004B48FA"/>
    <w:rsid w:val="004B53F1"/>
    <w:rsid w:val="004D1042"/>
    <w:rsid w:val="004D682F"/>
    <w:rsid w:val="004E0EB3"/>
    <w:rsid w:val="004E6076"/>
    <w:rsid w:val="00500313"/>
    <w:rsid w:val="00505883"/>
    <w:rsid w:val="00510A0A"/>
    <w:rsid w:val="00511BDE"/>
    <w:rsid w:val="00542EDE"/>
    <w:rsid w:val="00547AFB"/>
    <w:rsid w:val="00565E67"/>
    <w:rsid w:val="00577A9B"/>
    <w:rsid w:val="005868BE"/>
    <w:rsid w:val="00587211"/>
    <w:rsid w:val="00590216"/>
    <w:rsid w:val="00594422"/>
    <w:rsid w:val="005A28DC"/>
    <w:rsid w:val="005C61CF"/>
    <w:rsid w:val="005C730F"/>
    <w:rsid w:val="005D2AA3"/>
    <w:rsid w:val="005E1C04"/>
    <w:rsid w:val="005E3141"/>
    <w:rsid w:val="005E3ADE"/>
    <w:rsid w:val="005F3FCB"/>
    <w:rsid w:val="00606BE3"/>
    <w:rsid w:val="006251B5"/>
    <w:rsid w:val="00630849"/>
    <w:rsid w:val="006436A1"/>
    <w:rsid w:val="00657443"/>
    <w:rsid w:val="0067597E"/>
    <w:rsid w:val="006921B0"/>
    <w:rsid w:val="00695FE2"/>
    <w:rsid w:val="006A4FB5"/>
    <w:rsid w:val="006B164D"/>
    <w:rsid w:val="006C3B09"/>
    <w:rsid w:val="006C7BC6"/>
    <w:rsid w:val="006D245D"/>
    <w:rsid w:val="007018F8"/>
    <w:rsid w:val="007069E1"/>
    <w:rsid w:val="00706F36"/>
    <w:rsid w:val="00714B23"/>
    <w:rsid w:val="00714B8A"/>
    <w:rsid w:val="00715A1D"/>
    <w:rsid w:val="00737AC9"/>
    <w:rsid w:val="0074608E"/>
    <w:rsid w:val="0075318B"/>
    <w:rsid w:val="00753DF8"/>
    <w:rsid w:val="00756A23"/>
    <w:rsid w:val="007570FA"/>
    <w:rsid w:val="0076458F"/>
    <w:rsid w:val="00784E37"/>
    <w:rsid w:val="00796228"/>
    <w:rsid w:val="007A1C98"/>
    <w:rsid w:val="007A56DF"/>
    <w:rsid w:val="007A787E"/>
    <w:rsid w:val="007B1CB6"/>
    <w:rsid w:val="007C515D"/>
    <w:rsid w:val="007D0CDF"/>
    <w:rsid w:val="007D4440"/>
    <w:rsid w:val="007E3686"/>
    <w:rsid w:val="007F11FE"/>
    <w:rsid w:val="00801425"/>
    <w:rsid w:val="00810C3F"/>
    <w:rsid w:val="0081533E"/>
    <w:rsid w:val="008178A7"/>
    <w:rsid w:val="00826849"/>
    <w:rsid w:val="00835A0D"/>
    <w:rsid w:val="008466AB"/>
    <w:rsid w:val="00847A69"/>
    <w:rsid w:val="00850514"/>
    <w:rsid w:val="008534BD"/>
    <w:rsid w:val="00853968"/>
    <w:rsid w:val="00855FFD"/>
    <w:rsid w:val="0086720B"/>
    <w:rsid w:val="00870D5F"/>
    <w:rsid w:val="008762D9"/>
    <w:rsid w:val="008801CA"/>
    <w:rsid w:val="0088570B"/>
    <w:rsid w:val="0088719B"/>
    <w:rsid w:val="008D2B3A"/>
    <w:rsid w:val="008E0894"/>
    <w:rsid w:val="008E117D"/>
    <w:rsid w:val="008E50DE"/>
    <w:rsid w:val="008E60F1"/>
    <w:rsid w:val="008F2A9F"/>
    <w:rsid w:val="008F60CC"/>
    <w:rsid w:val="008F7418"/>
    <w:rsid w:val="0090409B"/>
    <w:rsid w:val="009116A2"/>
    <w:rsid w:val="00923CFE"/>
    <w:rsid w:val="00977066"/>
    <w:rsid w:val="00980014"/>
    <w:rsid w:val="009A3BD4"/>
    <w:rsid w:val="009C3461"/>
    <w:rsid w:val="009C6D95"/>
    <w:rsid w:val="009C79F1"/>
    <w:rsid w:val="009D7A73"/>
    <w:rsid w:val="009D7E42"/>
    <w:rsid w:val="009E3FB2"/>
    <w:rsid w:val="009F0672"/>
    <w:rsid w:val="009F7D12"/>
    <w:rsid w:val="00A00856"/>
    <w:rsid w:val="00A2306D"/>
    <w:rsid w:val="00A23374"/>
    <w:rsid w:val="00A24FF6"/>
    <w:rsid w:val="00A25674"/>
    <w:rsid w:val="00A25A66"/>
    <w:rsid w:val="00A40502"/>
    <w:rsid w:val="00A45305"/>
    <w:rsid w:val="00A50AEC"/>
    <w:rsid w:val="00A559E1"/>
    <w:rsid w:val="00A61093"/>
    <w:rsid w:val="00A65882"/>
    <w:rsid w:val="00A65F67"/>
    <w:rsid w:val="00A67B5E"/>
    <w:rsid w:val="00A70327"/>
    <w:rsid w:val="00A867AE"/>
    <w:rsid w:val="00A876D8"/>
    <w:rsid w:val="00AA1DD2"/>
    <w:rsid w:val="00AC0188"/>
    <w:rsid w:val="00AC5E18"/>
    <w:rsid w:val="00AC6C7C"/>
    <w:rsid w:val="00AF282A"/>
    <w:rsid w:val="00AF4C70"/>
    <w:rsid w:val="00B04309"/>
    <w:rsid w:val="00B04603"/>
    <w:rsid w:val="00B11B40"/>
    <w:rsid w:val="00B26E5A"/>
    <w:rsid w:val="00B27109"/>
    <w:rsid w:val="00B44D18"/>
    <w:rsid w:val="00B47A8B"/>
    <w:rsid w:val="00B573CF"/>
    <w:rsid w:val="00B63B9C"/>
    <w:rsid w:val="00B65265"/>
    <w:rsid w:val="00B71710"/>
    <w:rsid w:val="00B765E6"/>
    <w:rsid w:val="00B77319"/>
    <w:rsid w:val="00B81921"/>
    <w:rsid w:val="00BA0969"/>
    <w:rsid w:val="00BA1AAB"/>
    <w:rsid w:val="00BA2684"/>
    <w:rsid w:val="00BA2891"/>
    <w:rsid w:val="00BB1780"/>
    <w:rsid w:val="00BB1DD1"/>
    <w:rsid w:val="00BB7CC5"/>
    <w:rsid w:val="00BC0557"/>
    <w:rsid w:val="00BC3632"/>
    <w:rsid w:val="00BE0A7F"/>
    <w:rsid w:val="00BE1BFA"/>
    <w:rsid w:val="00BE4F07"/>
    <w:rsid w:val="00BF2238"/>
    <w:rsid w:val="00BF45BC"/>
    <w:rsid w:val="00C03599"/>
    <w:rsid w:val="00C038A4"/>
    <w:rsid w:val="00C144BA"/>
    <w:rsid w:val="00C144FC"/>
    <w:rsid w:val="00C270B1"/>
    <w:rsid w:val="00C352D1"/>
    <w:rsid w:val="00C426A0"/>
    <w:rsid w:val="00C450DC"/>
    <w:rsid w:val="00C50B1E"/>
    <w:rsid w:val="00C52858"/>
    <w:rsid w:val="00C5327F"/>
    <w:rsid w:val="00C62CD0"/>
    <w:rsid w:val="00C64173"/>
    <w:rsid w:val="00C65125"/>
    <w:rsid w:val="00C749D3"/>
    <w:rsid w:val="00C75F3A"/>
    <w:rsid w:val="00C86E21"/>
    <w:rsid w:val="00C90A3D"/>
    <w:rsid w:val="00CA159B"/>
    <w:rsid w:val="00CA3961"/>
    <w:rsid w:val="00CB6C37"/>
    <w:rsid w:val="00CD1C22"/>
    <w:rsid w:val="00CD61C5"/>
    <w:rsid w:val="00CF02F1"/>
    <w:rsid w:val="00CF1101"/>
    <w:rsid w:val="00D0723D"/>
    <w:rsid w:val="00D11EF8"/>
    <w:rsid w:val="00D12DF2"/>
    <w:rsid w:val="00D44A28"/>
    <w:rsid w:val="00D52A3A"/>
    <w:rsid w:val="00D60DAF"/>
    <w:rsid w:val="00D715A7"/>
    <w:rsid w:val="00D751B7"/>
    <w:rsid w:val="00D877DA"/>
    <w:rsid w:val="00D9102B"/>
    <w:rsid w:val="00DC1F83"/>
    <w:rsid w:val="00DD3281"/>
    <w:rsid w:val="00DD3EC9"/>
    <w:rsid w:val="00DE6F29"/>
    <w:rsid w:val="00E01E29"/>
    <w:rsid w:val="00E02C13"/>
    <w:rsid w:val="00E03D9C"/>
    <w:rsid w:val="00E13651"/>
    <w:rsid w:val="00E22320"/>
    <w:rsid w:val="00E23402"/>
    <w:rsid w:val="00E31A80"/>
    <w:rsid w:val="00E348E1"/>
    <w:rsid w:val="00E36524"/>
    <w:rsid w:val="00E6365B"/>
    <w:rsid w:val="00E67003"/>
    <w:rsid w:val="00E774CB"/>
    <w:rsid w:val="00E8572A"/>
    <w:rsid w:val="00E926B4"/>
    <w:rsid w:val="00E96E5D"/>
    <w:rsid w:val="00EB287D"/>
    <w:rsid w:val="00EB3D7A"/>
    <w:rsid w:val="00ED3B92"/>
    <w:rsid w:val="00ED5635"/>
    <w:rsid w:val="00EE4760"/>
    <w:rsid w:val="00F10EC7"/>
    <w:rsid w:val="00F43AB1"/>
    <w:rsid w:val="00F51562"/>
    <w:rsid w:val="00F5580C"/>
    <w:rsid w:val="00F66000"/>
    <w:rsid w:val="00F712CC"/>
    <w:rsid w:val="00F71CBF"/>
    <w:rsid w:val="00F848C2"/>
    <w:rsid w:val="00F86FBF"/>
    <w:rsid w:val="00FB2DB2"/>
    <w:rsid w:val="00FB6D7B"/>
    <w:rsid w:val="00FC3C95"/>
    <w:rsid w:val="00FD37A6"/>
    <w:rsid w:val="00FE5DF0"/>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F629EDC8-B37F-472D-A9A1-F35DEB74D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557"/>
    <w:pPr>
      <w:spacing w:after="0" w:line="240" w:lineRule="auto"/>
      <w:jc w:val="both"/>
    </w:pPr>
    <w:rPr>
      <w:rFonts w:ascii="Arial" w:eastAsia="SimSun" w:hAnsi="Arial" w:cs="Arial"/>
      <w:sz w:val="21"/>
      <w:szCs w:val="21"/>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E96E5D"/>
    <w:pPr>
      <w:widowControl w:val="0"/>
      <w:numPr>
        <w:numId w:val="4"/>
      </w:numPr>
      <w:spacing w:before="240" w:after="60"/>
      <w:jc w:val="left"/>
      <w:outlineLvl w:val="0"/>
    </w:pPr>
    <w:rPr>
      <w:rFonts w:eastAsia="Batang" w:cs="Times New Roman"/>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E96E5D"/>
    <w:pPr>
      <w:keepNext/>
      <w:widowControl w:val="0"/>
      <w:numPr>
        <w:ilvl w:val="1"/>
        <w:numId w:val="4"/>
      </w:numPr>
      <w:spacing w:before="240" w:after="60"/>
      <w:jc w:val="left"/>
      <w:outlineLvl w:val="1"/>
    </w:pPr>
    <w:rPr>
      <w:rFonts w:eastAsia="Batang" w:cs="Times New Roman"/>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E96E5D"/>
    <w:pPr>
      <w:keepNext/>
      <w:numPr>
        <w:ilvl w:val="2"/>
        <w:numId w:val="4"/>
      </w:numPr>
      <w:spacing w:before="240" w:after="60"/>
      <w:jc w:val="left"/>
      <w:outlineLvl w:val="2"/>
    </w:pPr>
    <w:rPr>
      <w:rFonts w:eastAsia="Batang" w:cs="Times New Roman"/>
      <w:b/>
      <w:bCs/>
      <w:sz w:val="20"/>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E96E5D"/>
    <w:pPr>
      <w:numPr>
        <w:ilvl w:val="3"/>
      </w:numPr>
      <w:outlineLvl w:val="3"/>
    </w:pPr>
    <w:rPr>
      <w:i/>
    </w:rPr>
  </w:style>
  <w:style w:type="paragraph" w:styleId="Heading5">
    <w:name w:val="heading 5"/>
    <w:basedOn w:val="Heading4"/>
    <w:next w:val="Normal"/>
    <w:link w:val="Heading5Char"/>
    <w:uiPriority w:val="9"/>
    <w:qFormat/>
    <w:rsid w:val="00E96E5D"/>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E96E5D"/>
    <w:pPr>
      <w:numPr>
        <w:ilvl w:val="5"/>
        <w:numId w:val="4"/>
      </w:numPr>
      <w:spacing w:before="240" w:after="60"/>
      <w:jc w:val="left"/>
      <w:outlineLvl w:val="5"/>
    </w:pPr>
    <w:rPr>
      <w:rFonts w:ascii="Times New Roman" w:eastAsia="Batang" w:hAnsi="Times New Roman" w:cs="Times New Roman"/>
      <w:b/>
      <w:bCs/>
      <w:i/>
      <w:sz w:val="20"/>
      <w:szCs w:val="22"/>
      <w:lang w:eastAsia="x-none"/>
    </w:rPr>
  </w:style>
  <w:style w:type="paragraph" w:styleId="Heading7">
    <w:name w:val="heading 7"/>
    <w:basedOn w:val="Normal"/>
    <w:next w:val="Normal"/>
    <w:link w:val="Heading7Char"/>
    <w:uiPriority w:val="9"/>
    <w:qFormat/>
    <w:rsid w:val="00E96E5D"/>
    <w:pPr>
      <w:numPr>
        <w:ilvl w:val="6"/>
        <w:numId w:val="4"/>
      </w:numPr>
      <w:spacing w:before="240" w:after="60"/>
      <w:jc w:val="left"/>
      <w:outlineLvl w:val="6"/>
    </w:pPr>
    <w:rPr>
      <w:rFonts w:ascii="Times New Roman" w:eastAsia="Batang" w:hAnsi="Times New Roman" w:cs="Times New Roman"/>
      <w:sz w:val="24"/>
      <w:szCs w:val="24"/>
      <w:lang w:eastAsia="x-none"/>
    </w:rPr>
  </w:style>
  <w:style w:type="paragraph" w:styleId="Heading8">
    <w:name w:val="heading 8"/>
    <w:basedOn w:val="Normal"/>
    <w:next w:val="Normal"/>
    <w:link w:val="Heading8Char"/>
    <w:uiPriority w:val="9"/>
    <w:qFormat/>
    <w:rsid w:val="00E96E5D"/>
    <w:pPr>
      <w:numPr>
        <w:ilvl w:val="7"/>
        <w:numId w:val="4"/>
      </w:numPr>
      <w:spacing w:before="240" w:after="60"/>
      <w:jc w:val="left"/>
      <w:outlineLvl w:val="7"/>
    </w:pPr>
    <w:rPr>
      <w:rFonts w:ascii="Times New Roman" w:eastAsia="Batang" w:hAnsi="Times New Roman" w:cs="Times New Roman"/>
      <w:i/>
      <w:iCs/>
      <w:sz w:val="24"/>
      <w:szCs w:val="24"/>
      <w:lang w:eastAsia="x-none"/>
    </w:rPr>
  </w:style>
  <w:style w:type="paragraph" w:styleId="Heading9">
    <w:name w:val="heading 9"/>
    <w:basedOn w:val="Normal"/>
    <w:next w:val="Normal"/>
    <w:link w:val="Heading9Char"/>
    <w:uiPriority w:val="9"/>
    <w:qFormat/>
    <w:rsid w:val="00E96E5D"/>
    <w:pPr>
      <w:numPr>
        <w:ilvl w:val="8"/>
        <w:numId w:val="4"/>
      </w:numPr>
      <w:spacing w:before="240" w:after="60"/>
      <w:jc w:val="left"/>
      <w:outlineLvl w:val="8"/>
    </w:pPr>
    <w:rPr>
      <w:rFonts w:eastAsia="Batang" w:cs="Times New Roman"/>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BC0557"/>
    <w:pPr>
      <w:tabs>
        <w:tab w:val="center" w:pos="4153"/>
        <w:tab w:val="right" w:pos="8306"/>
      </w:tabs>
    </w:pPr>
  </w:style>
  <w:style w:type="character" w:customStyle="1" w:styleId="HeaderChar">
    <w:name w:val="Header Char"/>
    <w:basedOn w:val="DefaultParagraphFont"/>
    <w:link w:val="Header"/>
    <w:semiHidden/>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511BDE"/>
    <w:pPr>
      <w:tabs>
        <w:tab w:val="center" w:pos="4513"/>
        <w:tab w:val="right" w:pos="9026"/>
      </w:tabs>
    </w:pPr>
  </w:style>
  <w:style w:type="character" w:customStyle="1" w:styleId="FooterChar">
    <w:name w:val="Footer Char"/>
    <w:basedOn w:val="DefaultParagraphFont"/>
    <w:link w:val="Footer"/>
    <w:uiPriority w:val="99"/>
    <w:rsid w:val="00511BDE"/>
    <w:rPr>
      <w:rFonts w:ascii="Arial" w:eastAsia="SimSun" w:hAnsi="Arial" w:cs="Arial"/>
      <w:sz w:val="21"/>
      <w:szCs w:val="21"/>
      <w:lang w:val="en-GB"/>
    </w:rPr>
  </w:style>
  <w:style w:type="table" w:styleId="TableGrid">
    <w:name w:val="Table Grid"/>
    <w:basedOn w:val="TableNormal"/>
    <w:uiPriority w:val="39"/>
    <w:rsid w:val="00F43A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43AB1"/>
    <w:pPr>
      <w:ind w:leftChars="400" w:left="840" w:hanging="720"/>
      <w:jc w:val="left"/>
    </w:pPr>
    <w:rPr>
      <w:rFonts w:ascii="Times" w:eastAsia="Batang" w:hAnsi="Times" w:cs="Times New Roman"/>
      <w:sz w:val="20"/>
      <w:szCs w:val="24"/>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F43AB1"/>
    <w:rPr>
      <w:rFonts w:ascii="Times" w:eastAsia="Batang" w:hAnsi="Times" w:cs="Times New Roman"/>
      <w:sz w:val="20"/>
      <w:szCs w:val="24"/>
      <w:lang w:val="en-GB" w:eastAsia="x-none"/>
    </w:rPr>
  </w:style>
  <w:style w:type="paragraph" w:styleId="Caption">
    <w:name w:val="caption"/>
    <w:basedOn w:val="Normal"/>
    <w:next w:val="Normal"/>
    <w:uiPriority w:val="35"/>
    <w:unhideWhenUsed/>
    <w:qFormat/>
    <w:rsid w:val="007069E1"/>
    <w:pPr>
      <w:spacing w:after="200"/>
    </w:pPr>
    <w:rPr>
      <w:i/>
      <w:iCs/>
      <w:color w:val="44546A" w:themeColor="text2"/>
      <w:sz w:val="18"/>
      <w:szCs w:val="18"/>
    </w:rPr>
  </w:style>
  <w:style w:type="character" w:styleId="Hyperlink">
    <w:name w:val="Hyperlink"/>
    <w:basedOn w:val="DefaultParagraphFont"/>
    <w:uiPriority w:val="99"/>
    <w:unhideWhenUsed/>
    <w:rsid w:val="0031286C"/>
    <w:rPr>
      <w:color w:val="0563C1" w:themeColor="hyperlink"/>
      <w:u w:val="single"/>
    </w:rPr>
  </w:style>
  <w:style w:type="character" w:styleId="UnresolvedMention">
    <w:name w:val="Unresolved Mention"/>
    <w:basedOn w:val="DefaultParagraphFont"/>
    <w:uiPriority w:val="99"/>
    <w:semiHidden/>
    <w:unhideWhenUsed/>
    <w:rsid w:val="0031286C"/>
    <w:rPr>
      <w:color w:val="605E5C"/>
      <w:shd w:val="clear" w:color="auto" w:fill="E1DFDD"/>
    </w:rPr>
  </w:style>
  <w:style w:type="character" w:styleId="FollowedHyperlink">
    <w:name w:val="FollowedHyperlink"/>
    <w:basedOn w:val="DefaultParagraphFont"/>
    <w:uiPriority w:val="99"/>
    <w:semiHidden/>
    <w:unhideWhenUsed/>
    <w:rsid w:val="0031286C"/>
    <w:rPr>
      <w:color w:val="954F72" w:themeColor="followedHyperlink"/>
      <w:u w:val="singl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E96E5D"/>
    <w:rPr>
      <w:rFonts w:ascii="Arial" w:eastAsia="Batang" w:hAnsi="Arial" w:cs="Times New Roman"/>
      <w:b/>
      <w:bCs/>
      <w:kern w:val="32"/>
      <w:sz w:val="32"/>
      <w:szCs w:val="32"/>
      <w:lang w:val="en-GB" w:eastAsia="x-none"/>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E96E5D"/>
    <w:rPr>
      <w:rFonts w:ascii="Arial" w:eastAsia="Batang" w:hAnsi="Arial" w:cs="Times New Roman"/>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96E5D"/>
    <w:rPr>
      <w:rFonts w:ascii="Arial" w:eastAsia="Batang" w:hAnsi="Arial" w:cs="Times New Roman"/>
      <w:b/>
      <w:bCs/>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E96E5D"/>
    <w:rPr>
      <w:rFonts w:ascii="Arial" w:eastAsia="Batang" w:hAnsi="Arial" w:cs="Times New Roman"/>
      <w:b/>
      <w:bCs/>
      <w:i/>
      <w:sz w:val="20"/>
      <w:szCs w:val="26"/>
      <w:lang w:val="en-GB" w:eastAsia="x-none"/>
    </w:rPr>
  </w:style>
  <w:style w:type="character" w:customStyle="1" w:styleId="Heading5Char">
    <w:name w:val="Heading 5 Char"/>
    <w:basedOn w:val="DefaultParagraphFont"/>
    <w:link w:val="Heading5"/>
    <w:uiPriority w:val="9"/>
    <w:rsid w:val="00E96E5D"/>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uiPriority w:val="9"/>
    <w:rsid w:val="00E96E5D"/>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rsid w:val="00E96E5D"/>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E96E5D"/>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E96E5D"/>
    <w:rPr>
      <w:rFonts w:ascii="Arial" w:eastAsia="Batang" w:hAnsi="Arial" w:cs="Times New Roman"/>
      <w:lang w:val="en-GB" w:eastAsia="x-none"/>
    </w:rPr>
  </w:style>
  <w:style w:type="paragraph" w:styleId="BalloonText">
    <w:name w:val="Balloon Text"/>
    <w:basedOn w:val="Normal"/>
    <w:link w:val="BalloonTextChar"/>
    <w:uiPriority w:val="99"/>
    <w:semiHidden/>
    <w:unhideWhenUsed/>
    <w:rsid w:val="003E621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6210"/>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891038">
      <w:bodyDiv w:val="1"/>
      <w:marLeft w:val="0"/>
      <w:marRight w:val="0"/>
      <w:marTop w:val="0"/>
      <w:marBottom w:val="0"/>
      <w:divBdr>
        <w:top w:val="none" w:sz="0" w:space="0" w:color="auto"/>
        <w:left w:val="none" w:sz="0" w:space="0" w:color="auto"/>
        <w:bottom w:val="none" w:sz="0" w:space="0" w:color="auto"/>
        <w:right w:val="none" w:sz="0" w:space="0" w:color="auto"/>
      </w:divBdr>
      <w:divsChild>
        <w:div w:id="383723416">
          <w:marLeft w:val="1166"/>
          <w:marRight w:val="0"/>
          <w:marTop w:val="0"/>
          <w:marBottom w:val="0"/>
          <w:divBdr>
            <w:top w:val="none" w:sz="0" w:space="0" w:color="auto"/>
            <w:left w:val="none" w:sz="0" w:space="0" w:color="auto"/>
            <w:bottom w:val="none" w:sz="0" w:space="0" w:color="auto"/>
            <w:right w:val="none" w:sz="0" w:space="0" w:color="auto"/>
          </w:divBdr>
        </w:div>
        <w:div w:id="375589047">
          <w:marLeft w:val="1886"/>
          <w:marRight w:val="0"/>
          <w:marTop w:val="0"/>
          <w:marBottom w:val="0"/>
          <w:divBdr>
            <w:top w:val="none" w:sz="0" w:space="0" w:color="auto"/>
            <w:left w:val="none" w:sz="0" w:space="0" w:color="auto"/>
            <w:bottom w:val="none" w:sz="0" w:space="0" w:color="auto"/>
            <w:right w:val="none" w:sz="0" w:space="0" w:color="auto"/>
          </w:divBdr>
        </w:div>
        <w:div w:id="2069113304">
          <w:marLeft w:val="2606"/>
          <w:marRight w:val="0"/>
          <w:marTop w:val="0"/>
          <w:marBottom w:val="0"/>
          <w:divBdr>
            <w:top w:val="none" w:sz="0" w:space="0" w:color="auto"/>
            <w:left w:val="none" w:sz="0" w:space="0" w:color="auto"/>
            <w:bottom w:val="none" w:sz="0" w:space="0" w:color="auto"/>
            <w:right w:val="none" w:sz="0" w:space="0" w:color="auto"/>
          </w:divBdr>
        </w:div>
        <w:div w:id="1946381257">
          <w:marLeft w:val="1166"/>
          <w:marRight w:val="0"/>
          <w:marTop w:val="0"/>
          <w:marBottom w:val="0"/>
          <w:divBdr>
            <w:top w:val="none" w:sz="0" w:space="0" w:color="auto"/>
            <w:left w:val="none" w:sz="0" w:space="0" w:color="auto"/>
            <w:bottom w:val="none" w:sz="0" w:space="0" w:color="auto"/>
            <w:right w:val="none" w:sz="0" w:space="0" w:color="auto"/>
          </w:divBdr>
        </w:div>
        <w:div w:id="257250994">
          <w:marLeft w:val="1886"/>
          <w:marRight w:val="0"/>
          <w:marTop w:val="0"/>
          <w:marBottom w:val="0"/>
          <w:divBdr>
            <w:top w:val="none" w:sz="0" w:space="0" w:color="auto"/>
            <w:left w:val="none" w:sz="0" w:space="0" w:color="auto"/>
            <w:bottom w:val="none" w:sz="0" w:space="0" w:color="auto"/>
            <w:right w:val="none" w:sz="0" w:space="0" w:color="auto"/>
          </w:divBdr>
        </w:div>
        <w:div w:id="645402088">
          <w:marLeft w:val="2606"/>
          <w:marRight w:val="0"/>
          <w:marTop w:val="0"/>
          <w:marBottom w:val="0"/>
          <w:divBdr>
            <w:top w:val="none" w:sz="0" w:space="0" w:color="auto"/>
            <w:left w:val="none" w:sz="0" w:space="0" w:color="auto"/>
            <w:bottom w:val="none" w:sz="0" w:space="0" w:color="auto"/>
            <w:right w:val="none" w:sz="0" w:space="0" w:color="auto"/>
          </w:divBdr>
        </w:div>
      </w:divsChild>
    </w:div>
    <w:div w:id="242766245">
      <w:bodyDiv w:val="1"/>
      <w:marLeft w:val="0"/>
      <w:marRight w:val="0"/>
      <w:marTop w:val="0"/>
      <w:marBottom w:val="0"/>
      <w:divBdr>
        <w:top w:val="none" w:sz="0" w:space="0" w:color="auto"/>
        <w:left w:val="none" w:sz="0" w:space="0" w:color="auto"/>
        <w:bottom w:val="none" w:sz="0" w:space="0" w:color="auto"/>
        <w:right w:val="none" w:sz="0" w:space="0" w:color="auto"/>
      </w:divBdr>
    </w:div>
    <w:div w:id="322658691">
      <w:bodyDiv w:val="1"/>
      <w:marLeft w:val="0"/>
      <w:marRight w:val="0"/>
      <w:marTop w:val="0"/>
      <w:marBottom w:val="0"/>
      <w:divBdr>
        <w:top w:val="none" w:sz="0" w:space="0" w:color="auto"/>
        <w:left w:val="none" w:sz="0" w:space="0" w:color="auto"/>
        <w:bottom w:val="none" w:sz="0" w:space="0" w:color="auto"/>
        <w:right w:val="none" w:sz="0" w:space="0" w:color="auto"/>
      </w:divBdr>
      <w:divsChild>
        <w:div w:id="1584030855">
          <w:marLeft w:val="1166"/>
          <w:marRight w:val="0"/>
          <w:marTop w:val="0"/>
          <w:marBottom w:val="0"/>
          <w:divBdr>
            <w:top w:val="none" w:sz="0" w:space="0" w:color="auto"/>
            <w:left w:val="none" w:sz="0" w:space="0" w:color="auto"/>
            <w:bottom w:val="none" w:sz="0" w:space="0" w:color="auto"/>
            <w:right w:val="none" w:sz="0" w:space="0" w:color="auto"/>
          </w:divBdr>
        </w:div>
        <w:div w:id="474952359">
          <w:marLeft w:val="2606"/>
          <w:marRight w:val="0"/>
          <w:marTop w:val="0"/>
          <w:marBottom w:val="0"/>
          <w:divBdr>
            <w:top w:val="none" w:sz="0" w:space="0" w:color="auto"/>
            <w:left w:val="none" w:sz="0" w:space="0" w:color="auto"/>
            <w:bottom w:val="none" w:sz="0" w:space="0" w:color="auto"/>
            <w:right w:val="none" w:sz="0" w:space="0" w:color="auto"/>
          </w:divBdr>
        </w:div>
        <w:div w:id="636758530">
          <w:marLeft w:val="2606"/>
          <w:marRight w:val="0"/>
          <w:marTop w:val="0"/>
          <w:marBottom w:val="0"/>
          <w:divBdr>
            <w:top w:val="none" w:sz="0" w:space="0" w:color="auto"/>
            <w:left w:val="none" w:sz="0" w:space="0" w:color="auto"/>
            <w:bottom w:val="none" w:sz="0" w:space="0" w:color="auto"/>
            <w:right w:val="none" w:sz="0" w:space="0" w:color="auto"/>
          </w:divBdr>
        </w:div>
      </w:divsChild>
    </w:div>
    <w:div w:id="400056899">
      <w:bodyDiv w:val="1"/>
      <w:marLeft w:val="0"/>
      <w:marRight w:val="0"/>
      <w:marTop w:val="0"/>
      <w:marBottom w:val="0"/>
      <w:divBdr>
        <w:top w:val="none" w:sz="0" w:space="0" w:color="auto"/>
        <w:left w:val="none" w:sz="0" w:space="0" w:color="auto"/>
        <w:bottom w:val="none" w:sz="0" w:space="0" w:color="auto"/>
        <w:right w:val="none" w:sz="0" w:space="0" w:color="auto"/>
      </w:divBdr>
    </w:div>
    <w:div w:id="917439261">
      <w:bodyDiv w:val="1"/>
      <w:marLeft w:val="0"/>
      <w:marRight w:val="0"/>
      <w:marTop w:val="0"/>
      <w:marBottom w:val="0"/>
      <w:divBdr>
        <w:top w:val="none" w:sz="0" w:space="0" w:color="auto"/>
        <w:left w:val="none" w:sz="0" w:space="0" w:color="auto"/>
        <w:bottom w:val="none" w:sz="0" w:space="0" w:color="auto"/>
        <w:right w:val="none" w:sz="0" w:space="0" w:color="auto"/>
      </w:divBdr>
    </w:div>
    <w:div w:id="928586529">
      <w:bodyDiv w:val="1"/>
      <w:marLeft w:val="0"/>
      <w:marRight w:val="0"/>
      <w:marTop w:val="0"/>
      <w:marBottom w:val="0"/>
      <w:divBdr>
        <w:top w:val="none" w:sz="0" w:space="0" w:color="auto"/>
        <w:left w:val="none" w:sz="0" w:space="0" w:color="auto"/>
        <w:bottom w:val="none" w:sz="0" w:space="0" w:color="auto"/>
        <w:right w:val="none" w:sz="0" w:space="0" w:color="auto"/>
      </w:divBdr>
      <w:divsChild>
        <w:div w:id="414401773">
          <w:marLeft w:val="1166"/>
          <w:marRight w:val="0"/>
          <w:marTop w:val="0"/>
          <w:marBottom w:val="0"/>
          <w:divBdr>
            <w:top w:val="none" w:sz="0" w:space="0" w:color="auto"/>
            <w:left w:val="none" w:sz="0" w:space="0" w:color="auto"/>
            <w:bottom w:val="none" w:sz="0" w:space="0" w:color="auto"/>
            <w:right w:val="none" w:sz="0" w:space="0" w:color="auto"/>
          </w:divBdr>
        </w:div>
        <w:div w:id="1946961942">
          <w:marLeft w:val="1886"/>
          <w:marRight w:val="0"/>
          <w:marTop w:val="0"/>
          <w:marBottom w:val="0"/>
          <w:divBdr>
            <w:top w:val="none" w:sz="0" w:space="0" w:color="auto"/>
            <w:left w:val="none" w:sz="0" w:space="0" w:color="auto"/>
            <w:bottom w:val="none" w:sz="0" w:space="0" w:color="auto"/>
            <w:right w:val="none" w:sz="0" w:space="0" w:color="auto"/>
          </w:divBdr>
        </w:div>
        <w:div w:id="722288933">
          <w:marLeft w:val="1886"/>
          <w:marRight w:val="0"/>
          <w:marTop w:val="0"/>
          <w:marBottom w:val="0"/>
          <w:divBdr>
            <w:top w:val="none" w:sz="0" w:space="0" w:color="auto"/>
            <w:left w:val="none" w:sz="0" w:space="0" w:color="auto"/>
            <w:bottom w:val="none" w:sz="0" w:space="0" w:color="auto"/>
            <w:right w:val="none" w:sz="0" w:space="0" w:color="auto"/>
          </w:divBdr>
        </w:div>
      </w:divsChild>
    </w:div>
    <w:div w:id="1435323354">
      <w:bodyDiv w:val="1"/>
      <w:marLeft w:val="0"/>
      <w:marRight w:val="0"/>
      <w:marTop w:val="0"/>
      <w:marBottom w:val="0"/>
      <w:divBdr>
        <w:top w:val="none" w:sz="0" w:space="0" w:color="auto"/>
        <w:left w:val="none" w:sz="0" w:space="0" w:color="auto"/>
        <w:bottom w:val="none" w:sz="0" w:space="0" w:color="auto"/>
        <w:right w:val="none" w:sz="0" w:space="0" w:color="auto"/>
      </w:divBdr>
    </w:div>
    <w:div w:id="1610157214">
      <w:bodyDiv w:val="1"/>
      <w:marLeft w:val="0"/>
      <w:marRight w:val="0"/>
      <w:marTop w:val="0"/>
      <w:marBottom w:val="0"/>
      <w:divBdr>
        <w:top w:val="none" w:sz="0" w:space="0" w:color="auto"/>
        <w:left w:val="none" w:sz="0" w:space="0" w:color="auto"/>
        <w:bottom w:val="none" w:sz="0" w:space="0" w:color="auto"/>
        <w:right w:val="none" w:sz="0" w:space="0" w:color="auto"/>
      </w:divBdr>
    </w:div>
    <w:div w:id="1667855432">
      <w:bodyDiv w:val="1"/>
      <w:marLeft w:val="0"/>
      <w:marRight w:val="0"/>
      <w:marTop w:val="0"/>
      <w:marBottom w:val="0"/>
      <w:divBdr>
        <w:top w:val="none" w:sz="0" w:space="0" w:color="auto"/>
        <w:left w:val="none" w:sz="0" w:space="0" w:color="auto"/>
        <w:bottom w:val="none" w:sz="0" w:space="0" w:color="auto"/>
        <w:right w:val="none" w:sz="0" w:space="0" w:color="auto"/>
      </w:divBdr>
    </w:div>
    <w:div w:id="1690250784">
      <w:bodyDiv w:val="1"/>
      <w:marLeft w:val="0"/>
      <w:marRight w:val="0"/>
      <w:marTop w:val="0"/>
      <w:marBottom w:val="0"/>
      <w:divBdr>
        <w:top w:val="none" w:sz="0" w:space="0" w:color="auto"/>
        <w:left w:val="none" w:sz="0" w:space="0" w:color="auto"/>
        <w:bottom w:val="none" w:sz="0" w:space="0" w:color="auto"/>
        <w:right w:val="none" w:sz="0" w:space="0" w:color="auto"/>
      </w:divBdr>
    </w:div>
    <w:div w:id="2144300046">
      <w:bodyDiv w:val="1"/>
      <w:marLeft w:val="0"/>
      <w:marRight w:val="0"/>
      <w:marTop w:val="0"/>
      <w:marBottom w:val="0"/>
      <w:divBdr>
        <w:top w:val="none" w:sz="0" w:space="0" w:color="auto"/>
        <w:left w:val="none" w:sz="0" w:space="0" w:color="auto"/>
        <w:bottom w:val="none" w:sz="0" w:space="0" w:color="auto"/>
        <w:right w:val="none" w:sz="0" w:space="0" w:color="auto"/>
      </w:divBdr>
      <w:divsChild>
        <w:div w:id="1806314402">
          <w:marLeft w:val="547"/>
          <w:marRight w:val="0"/>
          <w:marTop w:val="91"/>
          <w:marBottom w:val="0"/>
          <w:divBdr>
            <w:top w:val="none" w:sz="0" w:space="0" w:color="auto"/>
            <w:left w:val="none" w:sz="0" w:space="0" w:color="auto"/>
            <w:bottom w:val="none" w:sz="0" w:space="0" w:color="auto"/>
            <w:right w:val="none" w:sz="0" w:space="0" w:color="auto"/>
          </w:divBdr>
        </w:div>
        <w:div w:id="1396977550">
          <w:marLeft w:val="1166"/>
          <w:marRight w:val="0"/>
          <w:marTop w:val="82"/>
          <w:marBottom w:val="0"/>
          <w:divBdr>
            <w:top w:val="none" w:sz="0" w:space="0" w:color="auto"/>
            <w:left w:val="none" w:sz="0" w:space="0" w:color="auto"/>
            <w:bottom w:val="none" w:sz="0" w:space="0" w:color="auto"/>
            <w:right w:val="none" w:sz="0" w:space="0" w:color="auto"/>
          </w:divBdr>
        </w:div>
        <w:div w:id="582497809">
          <w:marLeft w:val="547"/>
          <w:marRight w:val="0"/>
          <w:marTop w:val="91"/>
          <w:marBottom w:val="0"/>
          <w:divBdr>
            <w:top w:val="none" w:sz="0" w:space="0" w:color="auto"/>
            <w:left w:val="none" w:sz="0" w:space="0" w:color="auto"/>
            <w:bottom w:val="none" w:sz="0" w:space="0" w:color="auto"/>
            <w:right w:val="none" w:sz="0" w:space="0" w:color="auto"/>
          </w:divBdr>
        </w:div>
        <w:div w:id="1345476405">
          <w:marLeft w:val="1166"/>
          <w:marRight w:val="0"/>
          <w:marTop w:val="82"/>
          <w:marBottom w:val="0"/>
          <w:divBdr>
            <w:top w:val="none" w:sz="0" w:space="0" w:color="auto"/>
            <w:left w:val="none" w:sz="0" w:space="0" w:color="auto"/>
            <w:bottom w:val="none" w:sz="0" w:space="0" w:color="auto"/>
            <w:right w:val="none" w:sz="0" w:space="0" w:color="auto"/>
          </w:divBdr>
        </w:div>
        <w:div w:id="1329364803">
          <w:marLeft w:val="1800"/>
          <w:marRight w:val="0"/>
          <w:marTop w:val="72"/>
          <w:marBottom w:val="0"/>
          <w:divBdr>
            <w:top w:val="none" w:sz="0" w:space="0" w:color="auto"/>
            <w:left w:val="none" w:sz="0" w:space="0" w:color="auto"/>
            <w:bottom w:val="none" w:sz="0" w:space="0" w:color="auto"/>
            <w:right w:val="none" w:sz="0" w:space="0" w:color="auto"/>
          </w:divBdr>
        </w:div>
        <w:div w:id="1156647874">
          <w:marLeft w:val="1800"/>
          <w:marRight w:val="0"/>
          <w:marTop w:val="72"/>
          <w:marBottom w:val="0"/>
          <w:divBdr>
            <w:top w:val="none" w:sz="0" w:space="0" w:color="auto"/>
            <w:left w:val="none" w:sz="0" w:space="0" w:color="auto"/>
            <w:bottom w:val="none" w:sz="0" w:space="0" w:color="auto"/>
            <w:right w:val="none" w:sz="0" w:space="0" w:color="auto"/>
          </w:divBdr>
        </w:div>
        <w:div w:id="93290155">
          <w:marLeft w:val="2520"/>
          <w:marRight w:val="0"/>
          <w:marTop w:val="67"/>
          <w:marBottom w:val="0"/>
          <w:divBdr>
            <w:top w:val="none" w:sz="0" w:space="0" w:color="auto"/>
            <w:left w:val="none" w:sz="0" w:space="0" w:color="auto"/>
            <w:bottom w:val="none" w:sz="0" w:space="0" w:color="auto"/>
            <w:right w:val="none" w:sz="0" w:space="0" w:color="auto"/>
          </w:divBdr>
        </w:div>
        <w:div w:id="479923347">
          <w:marLeft w:val="2520"/>
          <w:marRight w:val="0"/>
          <w:marTop w:val="67"/>
          <w:marBottom w:val="0"/>
          <w:divBdr>
            <w:top w:val="none" w:sz="0" w:space="0" w:color="auto"/>
            <w:left w:val="none" w:sz="0" w:space="0" w:color="auto"/>
            <w:bottom w:val="none" w:sz="0" w:space="0" w:color="auto"/>
            <w:right w:val="none" w:sz="0" w:space="0" w:color="auto"/>
          </w:divBdr>
        </w:div>
        <w:div w:id="538325512">
          <w:marLeft w:val="1166"/>
          <w:marRight w:val="0"/>
          <w:marTop w:val="82"/>
          <w:marBottom w:val="0"/>
          <w:divBdr>
            <w:top w:val="none" w:sz="0" w:space="0" w:color="auto"/>
            <w:left w:val="none" w:sz="0" w:space="0" w:color="auto"/>
            <w:bottom w:val="none" w:sz="0" w:space="0" w:color="auto"/>
            <w:right w:val="none" w:sz="0" w:space="0" w:color="auto"/>
          </w:divBdr>
        </w:div>
        <w:div w:id="1257522101">
          <w:marLeft w:val="1800"/>
          <w:marRight w:val="0"/>
          <w:marTop w:val="72"/>
          <w:marBottom w:val="0"/>
          <w:divBdr>
            <w:top w:val="none" w:sz="0" w:space="0" w:color="auto"/>
            <w:left w:val="none" w:sz="0" w:space="0" w:color="auto"/>
            <w:bottom w:val="none" w:sz="0" w:space="0" w:color="auto"/>
            <w:right w:val="none" w:sz="0" w:space="0" w:color="auto"/>
          </w:divBdr>
        </w:div>
        <w:div w:id="2121022728">
          <w:marLeft w:val="1800"/>
          <w:marRight w:val="0"/>
          <w:marTop w:val="7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F856CD-83AE-4E8F-8D1D-8F3BEDA21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843</Words>
  <Characters>4810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Discussion on priority setting for higher layer contents</vt:lpstr>
    </vt:vector>
  </TitlesOfParts>
  <Company>Guangdong OPPO Mobile Telecom</Company>
  <LinksUpToDate>false</LinksUpToDate>
  <CharactersWithSpaces>5642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LTE feature list for 5G_V2X_NRSL</dc:title>
  <dc:subject>NR-V2X</dc:subject>
  <dc:creator>Kevin.Lin@oppo.com</dc:creator>
  <cp:keywords>RAN1#100bis-e</cp:keywords>
  <dc:description>Final version for submission</dc:description>
  <cp:lastModifiedBy>Kevin Lin</cp:lastModifiedBy>
  <cp:revision>2</cp:revision>
  <cp:lastPrinted>2020-02-09T00:52:00Z</cp:lastPrinted>
  <dcterms:created xsi:type="dcterms:W3CDTF">2020-04-10T09:27:00Z</dcterms:created>
  <dcterms:modified xsi:type="dcterms:W3CDTF">2020-04-10T09:27:00Z</dcterms:modified>
  <cp:category>Coexistence</cp:category>
</cp:coreProperties>
</file>